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27E" w:rsidRPr="006E557F" w:rsidRDefault="00C4427E" w:rsidP="00C4427E">
      <w:pPr>
        <w:jc w:val="both"/>
        <w:rPr>
          <w:rFonts w:ascii="Garamond" w:hAnsi="Garamond"/>
          <w:b/>
          <w:sz w:val="24"/>
          <w:szCs w:val="24"/>
        </w:rPr>
      </w:pPr>
      <w:r w:rsidRPr="006E557F">
        <w:rPr>
          <w:rFonts w:ascii="Garamond" w:hAnsi="Garamond"/>
          <w:b/>
          <w:sz w:val="24"/>
          <w:szCs w:val="24"/>
        </w:rPr>
        <w:t>Tabla 1.</w:t>
      </w:r>
      <w:r>
        <w:rPr>
          <w:rFonts w:ascii="Garamond" w:hAnsi="Garamond"/>
          <w:b/>
          <w:sz w:val="24"/>
          <w:szCs w:val="24"/>
        </w:rPr>
        <w:t xml:space="preserve"> </w:t>
      </w:r>
      <w:r w:rsidRPr="006E557F">
        <w:rPr>
          <w:rFonts w:ascii="Garamond" w:hAnsi="Garamond"/>
          <w:b/>
          <w:sz w:val="24"/>
          <w:szCs w:val="24"/>
        </w:rPr>
        <w:t>Energía consumida por c</w:t>
      </w:r>
      <w:r>
        <w:rPr>
          <w:rFonts w:ascii="Garamond" w:hAnsi="Garamond"/>
          <w:b/>
          <w:sz w:val="24"/>
          <w:szCs w:val="24"/>
        </w:rPr>
        <w:t>uatro ciudades de</w:t>
      </w:r>
      <w:r w:rsidRPr="006E557F">
        <w:rPr>
          <w:rFonts w:ascii="Garamond" w:hAnsi="Garamond"/>
          <w:b/>
          <w:sz w:val="24"/>
          <w:szCs w:val="24"/>
        </w:rPr>
        <w:t xml:space="preserve"> Estados Unidos</w:t>
      </w:r>
      <w:r>
        <w:rPr>
          <w:rFonts w:ascii="Garamond" w:hAnsi="Garamond"/>
          <w:b/>
          <w:sz w:val="24"/>
          <w:szCs w:val="24"/>
        </w:rPr>
        <w:t xml:space="preserve"> </w:t>
      </w:r>
      <w:r w:rsidRPr="00CF51C2">
        <w:rPr>
          <w:rFonts w:ascii="Garamond" w:hAnsi="Garamond"/>
          <w:sz w:val="24"/>
          <w:szCs w:val="24"/>
        </w:rPr>
        <w:t xml:space="preserve">(en </w:t>
      </w:r>
      <w:proofErr w:type="spellStart"/>
      <w:r w:rsidRPr="00CF51C2">
        <w:rPr>
          <w:rFonts w:ascii="Garamond" w:hAnsi="Garamond"/>
          <w:sz w:val="24"/>
          <w:szCs w:val="24"/>
        </w:rPr>
        <w:t>MMBtu</w:t>
      </w:r>
      <w:proofErr w:type="spellEnd"/>
      <w:r w:rsidRPr="00CF51C2">
        <w:rPr>
          <w:rStyle w:val="Refdenotaalpie"/>
          <w:rFonts w:ascii="Garamond" w:hAnsi="Garamond"/>
          <w:sz w:val="24"/>
          <w:szCs w:val="24"/>
        </w:rPr>
        <w:footnoteReference w:id="1"/>
      </w:r>
      <w:r w:rsidRPr="00CF51C2">
        <w:rPr>
          <w:rFonts w:ascii="Garamond" w:hAnsi="Garamond"/>
          <w:sz w:val="24"/>
          <w:szCs w:val="24"/>
        </w:rPr>
        <w:t>)</w:t>
      </w:r>
    </w:p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1696"/>
        <w:gridCol w:w="1246"/>
        <w:gridCol w:w="1471"/>
        <w:gridCol w:w="1471"/>
        <w:gridCol w:w="1472"/>
        <w:gridCol w:w="1472"/>
      </w:tblGrid>
      <w:tr w:rsidR="00C4427E" w:rsidRPr="00DF7BD4" w:rsidTr="00136DBB">
        <w:tc>
          <w:tcPr>
            <w:tcW w:w="1696" w:type="dxa"/>
            <w:vMerge w:val="restart"/>
          </w:tcPr>
          <w:p w:rsidR="00C4427E" w:rsidRPr="00DF7BD4" w:rsidRDefault="00C4427E" w:rsidP="00136DBB">
            <w:pPr>
              <w:jc w:val="both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b/>
                <w:sz w:val="16"/>
                <w:szCs w:val="16"/>
              </w:rPr>
              <w:t>Ciudad</w:t>
            </w:r>
          </w:p>
        </w:tc>
        <w:tc>
          <w:tcPr>
            <w:tcW w:w="1246" w:type="dxa"/>
            <w:vMerge w:val="restart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b/>
                <w:sz w:val="16"/>
                <w:szCs w:val="16"/>
              </w:rPr>
              <w:t>Año</w:t>
            </w:r>
          </w:p>
        </w:tc>
        <w:tc>
          <w:tcPr>
            <w:tcW w:w="5886" w:type="dxa"/>
            <w:gridSpan w:val="4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b/>
                <w:sz w:val="16"/>
                <w:szCs w:val="16"/>
              </w:rPr>
              <w:t>Energía consumida</w:t>
            </w:r>
          </w:p>
        </w:tc>
      </w:tr>
      <w:tr w:rsidR="00C4427E" w:rsidRPr="00DF7BD4" w:rsidTr="00136DBB">
        <w:tc>
          <w:tcPr>
            <w:tcW w:w="1696" w:type="dxa"/>
            <w:vMerge/>
          </w:tcPr>
          <w:p w:rsidR="00C4427E" w:rsidRPr="00DF7BD4" w:rsidRDefault="00C4427E" w:rsidP="00136DBB">
            <w:pPr>
              <w:jc w:val="both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</w:tc>
        <w:tc>
          <w:tcPr>
            <w:tcW w:w="1246" w:type="dxa"/>
            <w:vMerge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</w:tc>
        <w:tc>
          <w:tcPr>
            <w:tcW w:w="1471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b/>
                <w:sz w:val="16"/>
                <w:szCs w:val="16"/>
              </w:rPr>
              <w:t>Residencial</w:t>
            </w:r>
          </w:p>
        </w:tc>
        <w:tc>
          <w:tcPr>
            <w:tcW w:w="1471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b/>
                <w:sz w:val="16"/>
                <w:szCs w:val="16"/>
              </w:rPr>
              <w:t>Industria y comercio</w:t>
            </w:r>
          </w:p>
        </w:tc>
        <w:tc>
          <w:tcPr>
            <w:tcW w:w="1472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b/>
                <w:sz w:val="16"/>
                <w:szCs w:val="16"/>
              </w:rPr>
              <w:t>Transporte</w:t>
            </w:r>
          </w:p>
        </w:tc>
        <w:tc>
          <w:tcPr>
            <w:tcW w:w="1472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b/>
                <w:sz w:val="16"/>
                <w:szCs w:val="16"/>
              </w:rPr>
              <w:t>Total</w:t>
            </w:r>
          </w:p>
        </w:tc>
      </w:tr>
      <w:tr w:rsidR="00C4427E" w:rsidRPr="00DF7BD4" w:rsidTr="00136DBB">
        <w:tc>
          <w:tcPr>
            <w:tcW w:w="1696" w:type="dxa"/>
          </w:tcPr>
          <w:p w:rsidR="00C4427E" w:rsidRPr="00DF7BD4" w:rsidRDefault="00C4427E" w:rsidP="00136DBB">
            <w:pPr>
              <w:jc w:val="both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Filadelfia</w:t>
            </w:r>
          </w:p>
        </w:tc>
        <w:tc>
          <w:tcPr>
            <w:tcW w:w="1246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2015</w:t>
            </w:r>
          </w:p>
        </w:tc>
        <w:tc>
          <w:tcPr>
            <w:tcW w:w="1471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51.582.023</w:t>
            </w:r>
          </w:p>
        </w:tc>
        <w:tc>
          <w:tcPr>
            <w:tcW w:w="1471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69.860.346</w:t>
            </w:r>
          </w:p>
        </w:tc>
        <w:tc>
          <w:tcPr>
            <w:tcW w:w="1472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28.098.920</w:t>
            </w:r>
          </w:p>
        </w:tc>
        <w:tc>
          <w:tcPr>
            <w:tcW w:w="1472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149.541.289</w:t>
            </w:r>
          </w:p>
        </w:tc>
      </w:tr>
      <w:tr w:rsidR="00C4427E" w:rsidRPr="00DF7BD4" w:rsidTr="00136DBB">
        <w:tc>
          <w:tcPr>
            <w:tcW w:w="1696" w:type="dxa"/>
          </w:tcPr>
          <w:p w:rsidR="00C4427E" w:rsidRPr="00DF7BD4" w:rsidRDefault="00C4427E" w:rsidP="00136DBB">
            <w:pPr>
              <w:jc w:val="both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Las Vegas</w:t>
            </w:r>
          </w:p>
        </w:tc>
        <w:tc>
          <w:tcPr>
            <w:tcW w:w="1246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2014</w:t>
            </w:r>
          </w:p>
        </w:tc>
        <w:tc>
          <w:tcPr>
            <w:tcW w:w="1471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23.130.376</w:t>
            </w:r>
          </w:p>
        </w:tc>
        <w:tc>
          <w:tcPr>
            <w:tcW w:w="1471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64.842.663</w:t>
            </w:r>
          </w:p>
        </w:tc>
        <w:tc>
          <w:tcPr>
            <w:tcW w:w="1472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93.025.588</w:t>
            </w:r>
          </w:p>
        </w:tc>
        <w:tc>
          <w:tcPr>
            <w:tcW w:w="1472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180.998.626</w:t>
            </w:r>
          </w:p>
        </w:tc>
      </w:tr>
      <w:tr w:rsidR="00C4427E" w:rsidRPr="00DF7BD4" w:rsidTr="00136DBB">
        <w:tc>
          <w:tcPr>
            <w:tcW w:w="1696" w:type="dxa"/>
          </w:tcPr>
          <w:p w:rsidR="00C4427E" w:rsidRPr="00DF7BD4" w:rsidRDefault="00C4427E" w:rsidP="00136DBB">
            <w:pPr>
              <w:jc w:val="both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Nueva York</w:t>
            </w:r>
          </w:p>
        </w:tc>
        <w:tc>
          <w:tcPr>
            <w:tcW w:w="1246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2014</w:t>
            </w:r>
          </w:p>
        </w:tc>
        <w:tc>
          <w:tcPr>
            <w:tcW w:w="1471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363.383.312</w:t>
            </w:r>
          </w:p>
        </w:tc>
        <w:tc>
          <w:tcPr>
            <w:tcW w:w="1471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460.081.837</w:t>
            </w:r>
          </w:p>
        </w:tc>
        <w:tc>
          <w:tcPr>
            <w:tcW w:w="1472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136.109.809</w:t>
            </w:r>
          </w:p>
        </w:tc>
        <w:tc>
          <w:tcPr>
            <w:tcW w:w="1472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b/>
                <w:sz w:val="16"/>
                <w:szCs w:val="16"/>
              </w:rPr>
              <w:t>959.574.958</w:t>
            </w:r>
          </w:p>
        </w:tc>
      </w:tr>
      <w:tr w:rsidR="00C4427E" w:rsidRPr="00DF7BD4" w:rsidTr="00136DBB">
        <w:tc>
          <w:tcPr>
            <w:tcW w:w="1696" w:type="dxa"/>
          </w:tcPr>
          <w:p w:rsidR="00C4427E" w:rsidRPr="00DF7BD4" w:rsidRDefault="00C4427E" w:rsidP="00136DBB">
            <w:pPr>
              <w:jc w:val="both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Washington D</w:t>
            </w:r>
            <w:r>
              <w:rPr>
                <w:rFonts w:asciiTheme="majorHAnsi" w:hAnsiTheme="majorHAnsi" w:cs="Arial"/>
                <w:sz w:val="16"/>
                <w:szCs w:val="16"/>
              </w:rPr>
              <w:t>.</w:t>
            </w:r>
            <w:r w:rsidRPr="00DF7BD4">
              <w:rPr>
                <w:rFonts w:asciiTheme="majorHAnsi" w:hAnsiTheme="majorHAnsi" w:cs="Arial"/>
                <w:sz w:val="16"/>
                <w:szCs w:val="16"/>
              </w:rPr>
              <w:t>C</w:t>
            </w:r>
            <w:r>
              <w:rPr>
                <w:rFonts w:asciiTheme="majorHAnsi" w:hAnsiTheme="majorHAnsi" w:cs="Arial"/>
                <w:sz w:val="16"/>
                <w:szCs w:val="16"/>
              </w:rPr>
              <w:t>.</w:t>
            </w:r>
          </w:p>
        </w:tc>
        <w:tc>
          <w:tcPr>
            <w:tcW w:w="1246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2013</w:t>
            </w:r>
          </w:p>
        </w:tc>
        <w:tc>
          <w:tcPr>
            <w:tcW w:w="1471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17.263.134</w:t>
            </w:r>
          </w:p>
        </w:tc>
        <w:tc>
          <w:tcPr>
            <w:tcW w:w="1471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48.698.452</w:t>
            </w:r>
          </w:p>
        </w:tc>
        <w:tc>
          <w:tcPr>
            <w:tcW w:w="1472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22.710.208</w:t>
            </w:r>
          </w:p>
        </w:tc>
        <w:tc>
          <w:tcPr>
            <w:tcW w:w="1472" w:type="dxa"/>
          </w:tcPr>
          <w:p w:rsidR="00C4427E" w:rsidRPr="00DF7BD4" w:rsidRDefault="00C4427E" w:rsidP="00136DBB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DF7BD4">
              <w:rPr>
                <w:rFonts w:asciiTheme="majorHAnsi" w:hAnsiTheme="majorHAnsi" w:cs="Arial"/>
                <w:sz w:val="16"/>
                <w:szCs w:val="16"/>
              </w:rPr>
              <w:t>88.671.793</w:t>
            </w:r>
          </w:p>
        </w:tc>
      </w:tr>
    </w:tbl>
    <w:p w:rsidR="00C4427E" w:rsidRPr="001E43B8" w:rsidRDefault="00C4427E" w:rsidP="00C4427E">
      <w:pPr>
        <w:jc w:val="both"/>
        <w:rPr>
          <w:rFonts w:ascii="Garamond" w:hAnsi="Garamond"/>
          <w:sz w:val="20"/>
          <w:szCs w:val="20"/>
        </w:rPr>
      </w:pPr>
      <w:r w:rsidRPr="00DF7BD4">
        <w:rPr>
          <w:rFonts w:ascii="Garamond" w:hAnsi="Garamond"/>
          <w:b/>
          <w:sz w:val="20"/>
          <w:szCs w:val="20"/>
        </w:rPr>
        <w:t>Fuente:</w:t>
      </w:r>
      <w:r w:rsidRPr="001E43B8">
        <w:rPr>
          <w:rFonts w:ascii="Garamond" w:hAnsi="Garamond"/>
          <w:sz w:val="20"/>
          <w:szCs w:val="20"/>
        </w:rPr>
        <w:t xml:space="preserve"> elaboración propia a partir de: American Council </w:t>
      </w:r>
      <w:proofErr w:type="spellStart"/>
      <w:r w:rsidRPr="001E43B8">
        <w:rPr>
          <w:rFonts w:ascii="Garamond" w:hAnsi="Garamond"/>
          <w:sz w:val="20"/>
          <w:szCs w:val="20"/>
        </w:rPr>
        <w:t>for</w:t>
      </w:r>
      <w:proofErr w:type="spellEnd"/>
      <w:r w:rsidRPr="001E43B8">
        <w:rPr>
          <w:rFonts w:ascii="Garamond" w:hAnsi="Garamond"/>
          <w:sz w:val="20"/>
          <w:szCs w:val="20"/>
        </w:rPr>
        <w:t xml:space="preserve"> </w:t>
      </w:r>
      <w:proofErr w:type="spellStart"/>
      <w:r w:rsidRPr="001E43B8">
        <w:rPr>
          <w:rFonts w:ascii="Garamond" w:hAnsi="Garamond"/>
          <w:sz w:val="20"/>
          <w:szCs w:val="20"/>
        </w:rPr>
        <w:t>an</w:t>
      </w:r>
      <w:proofErr w:type="spellEnd"/>
      <w:r w:rsidRPr="001E43B8">
        <w:rPr>
          <w:rFonts w:ascii="Garamond" w:hAnsi="Garamond"/>
          <w:sz w:val="20"/>
          <w:szCs w:val="20"/>
        </w:rPr>
        <w:t xml:space="preserve"> </w:t>
      </w:r>
      <w:proofErr w:type="spellStart"/>
      <w:r w:rsidRPr="001E43B8">
        <w:rPr>
          <w:rFonts w:ascii="Garamond" w:hAnsi="Garamond"/>
          <w:sz w:val="20"/>
          <w:szCs w:val="20"/>
        </w:rPr>
        <w:t>Energy-Efficient</w:t>
      </w:r>
      <w:proofErr w:type="spellEnd"/>
      <w:r w:rsidRPr="001E43B8">
        <w:rPr>
          <w:rFonts w:ascii="Garamond" w:hAnsi="Garamond"/>
          <w:sz w:val="20"/>
          <w:szCs w:val="20"/>
        </w:rPr>
        <w:t xml:space="preserve"> </w:t>
      </w:r>
      <w:proofErr w:type="spellStart"/>
      <w:r w:rsidRPr="001E43B8">
        <w:rPr>
          <w:rFonts w:ascii="Garamond" w:hAnsi="Garamond"/>
          <w:sz w:val="20"/>
          <w:szCs w:val="20"/>
        </w:rPr>
        <w:t>Economy</w:t>
      </w:r>
      <w:proofErr w:type="spellEnd"/>
      <w:r w:rsidRPr="001E43B8">
        <w:rPr>
          <w:rFonts w:ascii="Garamond" w:hAnsi="Garamond"/>
          <w:sz w:val="20"/>
          <w:szCs w:val="20"/>
        </w:rPr>
        <w:t>-ACEEE (2017).</w:t>
      </w:r>
    </w:p>
    <w:p w:rsidR="008F17B6" w:rsidRDefault="008F17B6"/>
    <w:p w:rsidR="00C4427E" w:rsidRPr="001E43B8" w:rsidRDefault="00C4427E" w:rsidP="00C4427E">
      <w:pPr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4"/>
          <w:szCs w:val="24"/>
        </w:rPr>
        <w:t>Gráfica 1</w:t>
      </w:r>
      <w:r w:rsidRPr="006E557F">
        <w:rPr>
          <w:rFonts w:ascii="Garamond" w:hAnsi="Garamond"/>
          <w:b/>
          <w:sz w:val="24"/>
          <w:szCs w:val="24"/>
        </w:rPr>
        <w:t xml:space="preserve">. Energía consumida en cuatro ciudades de países desarrollados </w:t>
      </w:r>
      <w:r w:rsidRPr="00CF51C2">
        <w:rPr>
          <w:rFonts w:ascii="Garamond" w:hAnsi="Garamond"/>
          <w:sz w:val="24"/>
          <w:szCs w:val="24"/>
        </w:rPr>
        <w:t>(en %)</w:t>
      </w:r>
      <w:r>
        <w:rPr>
          <w:noProof/>
          <w:lang w:eastAsia="es-CO"/>
        </w:rPr>
        <w:drawing>
          <wp:inline distT="0" distB="0" distL="0" distR="0" wp14:anchorId="3B338BDC" wp14:editId="43895482">
            <wp:extent cx="5486400" cy="3200400"/>
            <wp:effectExtent l="0" t="0" r="0" b="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Pr="00DF7BD4">
        <w:rPr>
          <w:rFonts w:ascii="Garamond" w:hAnsi="Garamond"/>
          <w:b/>
          <w:sz w:val="20"/>
          <w:szCs w:val="20"/>
        </w:rPr>
        <w:t>Fuente:</w:t>
      </w:r>
      <w:r w:rsidRPr="001E43B8">
        <w:rPr>
          <w:rFonts w:ascii="Garamond" w:hAnsi="Garamond"/>
          <w:sz w:val="20"/>
          <w:szCs w:val="20"/>
        </w:rPr>
        <w:t xml:space="preserve"> elaboración propia a partir de: </w:t>
      </w:r>
      <w:proofErr w:type="spellStart"/>
      <w:r w:rsidRPr="001E43B8">
        <w:rPr>
          <w:rFonts w:ascii="Garamond" w:hAnsi="Garamond"/>
          <w:sz w:val="20"/>
          <w:szCs w:val="20"/>
        </w:rPr>
        <w:t>United</w:t>
      </w:r>
      <w:proofErr w:type="spellEnd"/>
      <w:r w:rsidRPr="001E43B8">
        <w:rPr>
          <w:rFonts w:ascii="Garamond" w:hAnsi="Garamond"/>
          <w:sz w:val="20"/>
          <w:szCs w:val="20"/>
        </w:rPr>
        <w:t xml:space="preserve"> </w:t>
      </w:r>
      <w:proofErr w:type="spellStart"/>
      <w:r w:rsidRPr="001E43B8">
        <w:rPr>
          <w:rFonts w:ascii="Garamond" w:hAnsi="Garamond"/>
          <w:sz w:val="20"/>
          <w:szCs w:val="20"/>
        </w:rPr>
        <w:t>Nations</w:t>
      </w:r>
      <w:proofErr w:type="spellEnd"/>
      <w:r w:rsidRPr="001E43B8">
        <w:rPr>
          <w:rFonts w:ascii="Garamond" w:hAnsi="Garamond"/>
          <w:sz w:val="20"/>
          <w:szCs w:val="20"/>
        </w:rPr>
        <w:t xml:space="preserve"> (2008).</w:t>
      </w:r>
    </w:p>
    <w:p w:rsidR="00C4427E" w:rsidRDefault="00C4427E"/>
    <w:p w:rsidR="00C4427E" w:rsidRPr="001E43B8" w:rsidRDefault="00C4427E" w:rsidP="00C4427E">
      <w:pPr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4"/>
          <w:szCs w:val="24"/>
        </w:rPr>
        <w:lastRenderedPageBreak/>
        <w:t>Gráfica 2</w:t>
      </w:r>
      <w:r w:rsidRPr="006E557F">
        <w:rPr>
          <w:rFonts w:ascii="Garamond" w:hAnsi="Garamond"/>
          <w:b/>
          <w:sz w:val="24"/>
          <w:szCs w:val="24"/>
        </w:rPr>
        <w:t xml:space="preserve">. Energía consumida en cuatro ciudades de países de ingresos medios </w:t>
      </w:r>
      <w:r w:rsidRPr="00CF51C2">
        <w:rPr>
          <w:rFonts w:ascii="Garamond" w:hAnsi="Garamond"/>
          <w:sz w:val="24"/>
          <w:szCs w:val="24"/>
        </w:rPr>
        <w:t>(en %)</w:t>
      </w:r>
      <w:r>
        <w:rPr>
          <w:noProof/>
          <w:lang w:eastAsia="es-CO"/>
        </w:rPr>
        <w:drawing>
          <wp:inline distT="0" distB="0" distL="0" distR="0" wp14:anchorId="57829B83" wp14:editId="4894D18C">
            <wp:extent cx="5486400" cy="3200400"/>
            <wp:effectExtent l="0" t="0" r="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DF7BD4">
        <w:rPr>
          <w:rFonts w:ascii="Garamond" w:hAnsi="Garamond"/>
          <w:b/>
          <w:sz w:val="20"/>
          <w:szCs w:val="20"/>
        </w:rPr>
        <w:t>Fuente:</w:t>
      </w:r>
      <w:r w:rsidRPr="001E43B8">
        <w:rPr>
          <w:rFonts w:ascii="Garamond" w:hAnsi="Garamond"/>
          <w:sz w:val="20"/>
          <w:szCs w:val="20"/>
        </w:rPr>
        <w:t xml:space="preserve"> elaboración propia a partir de: </w:t>
      </w:r>
      <w:proofErr w:type="spellStart"/>
      <w:r w:rsidRPr="001E43B8">
        <w:rPr>
          <w:rFonts w:ascii="Garamond" w:hAnsi="Garamond"/>
          <w:sz w:val="20"/>
          <w:szCs w:val="20"/>
        </w:rPr>
        <w:t>United</w:t>
      </w:r>
      <w:proofErr w:type="spellEnd"/>
      <w:r w:rsidRPr="001E43B8">
        <w:rPr>
          <w:rFonts w:ascii="Garamond" w:hAnsi="Garamond"/>
          <w:sz w:val="20"/>
          <w:szCs w:val="20"/>
        </w:rPr>
        <w:t xml:space="preserve"> </w:t>
      </w:r>
      <w:proofErr w:type="spellStart"/>
      <w:r w:rsidRPr="001E43B8">
        <w:rPr>
          <w:rFonts w:ascii="Garamond" w:hAnsi="Garamond"/>
          <w:sz w:val="20"/>
          <w:szCs w:val="20"/>
        </w:rPr>
        <w:t>Nations</w:t>
      </w:r>
      <w:proofErr w:type="spellEnd"/>
      <w:r w:rsidRPr="001E43B8">
        <w:rPr>
          <w:rFonts w:ascii="Garamond" w:hAnsi="Garamond"/>
          <w:sz w:val="20"/>
          <w:szCs w:val="20"/>
        </w:rPr>
        <w:t xml:space="preserve"> (2008).</w:t>
      </w:r>
    </w:p>
    <w:p w:rsidR="00C4427E" w:rsidRDefault="00C4427E"/>
    <w:p w:rsidR="00C4427E" w:rsidRPr="001E43B8" w:rsidRDefault="00C4427E" w:rsidP="00C4427E">
      <w:pPr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4"/>
          <w:szCs w:val="24"/>
        </w:rPr>
        <w:t>Gráfica 3</w:t>
      </w:r>
      <w:r w:rsidRPr="006E557F">
        <w:rPr>
          <w:rFonts w:ascii="Garamond" w:hAnsi="Garamond"/>
          <w:b/>
          <w:sz w:val="24"/>
          <w:szCs w:val="24"/>
        </w:rPr>
        <w:t xml:space="preserve">. Energía consumida en </w:t>
      </w:r>
      <w:r>
        <w:rPr>
          <w:rFonts w:ascii="Garamond" w:hAnsi="Garamond"/>
          <w:b/>
          <w:sz w:val="24"/>
          <w:szCs w:val="24"/>
        </w:rPr>
        <w:t>tres</w:t>
      </w:r>
      <w:r w:rsidRPr="006E557F">
        <w:rPr>
          <w:rFonts w:ascii="Garamond" w:hAnsi="Garamond"/>
          <w:b/>
          <w:sz w:val="24"/>
          <w:szCs w:val="24"/>
        </w:rPr>
        <w:t xml:space="preserve"> </w:t>
      </w:r>
      <w:proofErr w:type="spellStart"/>
      <w:r>
        <w:rPr>
          <w:rFonts w:ascii="Garamond" w:hAnsi="Garamond"/>
          <w:b/>
          <w:sz w:val="24"/>
          <w:szCs w:val="24"/>
        </w:rPr>
        <w:t>mega</w:t>
      </w:r>
      <w:r w:rsidRPr="006E557F">
        <w:rPr>
          <w:rFonts w:ascii="Garamond" w:hAnsi="Garamond"/>
          <w:b/>
          <w:sz w:val="24"/>
          <w:szCs w:val="24"/>
        </w:rPr>
        <w:t>ciudades</w:t>
      </w:r>
      <w:proofErr w:type="spellEnd"/>
      <w:r w:rsidRPr="006E557F">
        <w:rPr>
          <w:rFonts w:ascii="Garamond" w:hAnsi="Garamond"/>
          <w:b/>
          <w:sz w:val="24"/>
          <w:szCs w:val="24"/>
        </w:rPr>
        <w:t xml:space="preserve"> asiáticas </w:t>
      </w:r>
      <w:r w:rsidRPr="00CF51C2">
        <w:rPr>
          <w:rFonts w:ascii="Garamond" w:hAnsi="Garamond"/>
          <w:sz w:val="24"/>
          <w:szCs w:val="24"/>
        </w:rPr>
        <w:t>(en %)</w:t>
      </w:r>
      <w:r>
        <w:rPr>
          <w:noProof/>
          <w:lang w:eastAsia="es-CO"/>
        </w:rPr>
        <w:drawing>
          <wp:inline distT="0" distB="0" distL="0" distR="0" wp14:anchorId="464DFEDB" wp14:editId="3936E303">
            <wp:extent cx="5486400" cy="2516588"/>
            <wp:effectExtent l="0" t="0" r="0" b="1714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DF7BD4">
        <w:rPr>
          <w:rFonts w:ascii="Garamond" w:hAnsi="Garamond"/>
          <w:b/>
          <w:sz w:val="20"/>
          <w:szCs w:val="20"/>
        </w:rPr>
        <w:t>Fuente:</w:t>
      </w:r>
      <w:r w:rsidRPr="001E43B8">
        <w:rPr>
          <w:rFonts w:ascii="Garamond" w:hAnsi="Garamond"/>
          <w:sz w:val="20"/>
          <w:szCs w:val="20"/>
        </w:rPr>
        <w:t xml:space="preserve"> elaboración propia a partir de: </w:t>
      </w:r>
      <w:proofErr w:type="spellStart"/>
      <w:r w:rsidRPr="001E43B8">
        <w:rPr>
          <w:rFonts w:ascii="Garamond" w:hAnsi="Garamond"/>
          <w:sz w:val="20"/>
          <w:szCs w:val="20"/>
        </w:rPr>
        <w:t>United</w:t>
      </w:r>
      <w:proofErr w:type="spellEnd"/>
      <w:r w:rsidRPr="001E43B8">
        <w:rPr>
          <w:rFonts w:ascii="Garamond" w:hAnsi="Garamond"/>
          <w:sz w:val="20"/>
          <w:szCs w:val="20"/>
        </w:rPr>
        <w:t xml:space="preserve"> </w:t>
      </w:r>
      <w:proofErr w:type="spellStart"/>
      <w:r w:rsidRPr="001E43B8">
        <w:rPr>
          <w:rFonts w:ascii="Garamond" w:hAnsi="Garamond"/>
          <w:sz w:val="20"/>
          <w:szCs w:val="20"/>
        </w:rPr>
        <w:t>Nations</w:t>
      </w:r>
      <w:proofErr w:type="spellEnd"/>
      <w:r w:rsidRPr="001E43B8">
        <w:rPr>
          <w:rFonts w:ascii="Garamond" w:hAnsi="Garamond"/>
          <w:sz w:val="20"/>
          <w:szCs w:val="20"/>
        </w:rPr>
        <w:t xml:space="preserve"> (2008).</w:t>
      </w:r>
    </w:p>
    <w:p w:rsidR="00C4427E" w:rsidRDefault="00C4427E"/>
    <w:p w:rsidR="00C4427E" w:rsidRDefault="00C4427E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lastRenderedPageBreak/>
        <w:t>Gráfica 4</w:t>
      </w:r>
      <w:r w:rsidRPr="00C928C0">
        <w:rPr>
          <w:rFonts w:ascii="Garamond" w:hAnsi="Garamond"/>
          <w:b/>
          <w:sz w:val="24"/>
          <w:szCs w:val="24"/>
        </w:rPr>
        <w:t>.</w:t>
      </w:r>
      <w:r>
        <w:rPr>
          <w:rFonts w:ascii="Garamond" w:hAnsi="Garamond"/>
          <w:b/>
          <w:sz w:val="24"/>
          <w:szCs w:val="24"/>
        </w:rPr>
        <w:t xml:space="preserve"> </w:t>
      </w:r>
      <w:r w:rsidRPr="00C928C0">
        <w:rPr>
          <w:rFonts w:ascii="Garamond" w:hAnsi="Garamond"/>
          <w:b/>
          <w:sz w:val="24"/>
          <w:szCs w:val="24"/>
        </w:rPr>
        <w:t>Consumo de materiale</w:t>
      </w:r>
      <w:r>
        <w:rPr>
          <w:rFonts w:ascii="Garamond" w:hAnsi="Garamond"/>
          <w:b/>
          <w:sz w:val="24"/>
          <w:szCs w:val="24"/>
        </w:rPr>
        <w:t xml:space="preserve">s domésticos por región </w:t>
      </w:r>
      <w:r w:rsidRPr="001C04BB">
        <w:rPr>
          <w:rFonts w:ascii="Garamond" w:hAnsi="Garamond"/>
          <w:sz w:val="24"/>
          <w:szCs w:val="24"/>
        </w:rPr>
        <w:t xml:space="preserve">(en </w:t>
      </w:r>
      <w:proofErr w:type="spellStart"/>
      <w:r w:rsidRPr="001C04BB">
        <w:rPr>
          <w:rFonts w:ascii="Garamond" w:hAnsi="Garamond"/>
          <w:sz w:val="24"/>
          <w:szCs w:val="24"/>
        </w:rPr>
        <w:t>gigatones</w:t>
      </w:r>
      <w:proofErr w:type="spellEnd"/>
      <w:r w:rsidRPr="001C04BB">
        <w:rPr>
          <w:rFonts w:ascii="Garamond" w:hAnsi="Garamond"/>
          <w:sz w:val="24"/>
          <w:szCs w:val="24"/>
        </w:rPr>
        <w:t xml:space="preserve"> por año)</w:t>
      </w:r>
      <w:r>
        <w:rPr>
          <w:noProof/>
          <w:lang w:eastAsia="es-CO"/>
        </w:rPr>
        <w:drawing>
          <wp:inline distT="0" distB="0" distL="0" distR="0" wp14:anchorId="26AD7BAA" wp14:editId="686DE61F">
            <wp:extent cx="5486400" cy="2771775"/>
            <wp:effectExtent l="0" t="0" r="0" b="952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427E" w:rsidRPr="00C928C0" w:rsidRDefault="00C4427E" w:rsidP="00C4427E">
      <w:pPr>
        <w:jc w:val="both"/>
        <w:rPr>
          <w:rFonts w:ascii="Garamond" w:hAnsi="Garamond"/>
          <w:sz w:val="20"/>
          <w:szCs w:val="20"/>
        </w:rPr>
      </w:pPr>
      <w:r w:rsidRPr="00DF7BD4">
        <w:rPr>
          <w:rFonts w:ascii="Garamond" w:hAnsi="Garamond"/>
          <w:b/>
          <w:sz w:val="20"/>
          <w:szCs w:val="20"/>
        </w:rPr>
        <w:t>Fuente:</w:t>
      </w:r>
      <w:r w:rsidRPr="00C928C0">
        <w:rPr>
          <w:rFonts w:ascii="Garamond" w:hAnsi="Garamond"/>
          <w:sz w:val="20"/>
          <w:szCs w:val="20"/>
        </w:rPr>
        <w:t xml:space="preserve"> Elaboración propia a partir de </w:t>
      </w:r>
      <w:proofErr w:type="spellStart"/>
      <w:r w:rsidRPr="00C928C0">
        <w:rPr>
          <w:rFonts w:ascii="Garamond" w:hAnsi="Garamond"/>
          <w:sz w:val="20"/>
          <w:szCs w:val="20"/>
        </w:rPr>
        <w:t>Schaffartzik</w:t>
      </w:r>
      <w:proofErr w:type="spellEnd"/>
      <w:r w:rsidRPr="00C928C0">
        <w:rPr>
          <w:rFonts w:ascii="Garamond" w:hAnsi="Garamond"/>
          <w:sz w:val="20"/>
          <w:szCs w:val="20"/>
        </w:rPr>
        <w:t xml:space="preserve"> et al (2014).</w:t>
      </w:r>
    </w:p>
    <w:p w:rsidR="00C4427E" w:rsidRDefault="00C4427E" w:rsidP="00C4427E"/>
    <w:p w:rsidR="00C4427E" w:rsidRDefault="00C4427E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Gráfica 5</w:t>
      </w:r>
      <w:r w:rsidRPr="00C928C0">
        <w:rPr>
          <w:rFonts w:ascii="Garamond" w:hAnsi="Garamond"/>
          <w:b/>
          <w:sz w:val="24"/>
          <w:szCs w:val="24"/>
        </w:rPr>
        <w:t>.</w:t>
      </w:r>
      <w:r>
        <w:rPr>
          <w:rFonts w:ascii="Garamond" w:hAnsi="Garamond"/>
          <w:b/>
          <w:sz w:val="24"/>
          <w:szCs w:val="24"/>
        </w:rPr>
        <w:t xml:space="preserve"> </w:t>
      </w:r>
      <w:r w:rsidRPr="00C928C0">
        <w:rPr>
          <w:rFonts w:ascii="Garamond" w:hAnsi="Garamond"/>
          <w:b/>
          <w:sz w:val="24"/>
          <w:szCs w:val="24"/>
        </w:rPr>
        <w:t>C</w:t>
      </w:r>
      <w:r>
        <w:rPr>
          <w:rFonts w:ascii="Garamond" w:hAnsi="Garamond"/>
          <w:b/>
          <w:sz w:val="24"/>
          <w:szCs w:val="24"/>
        </w:rPr>
        <w:t>omparativo: c</w:t>
      </w:r>
      <w:r w:rsidRPr="00C928C0">
        <w:rPr>
          <w:rFonts w:ascii="Garamond" w:hAnsi="Garamond"/>
          <w:b/>
          <w:sz w:val="24"/>
          <w:szCs w:val="24"/>
        </w:rPr>
        <w:t xml:space="preserve">onsumo de </w:t>
      </w:r>
      <w:r>
        <w:rPr>
          <w:rFonts w:ascii="Garamond" w:hAnsi="Garamond"/>
          <w:b/>
          <w:sz w:val="24"/>
          <w:szCs w:val="24"/>
        </w:rPr>
        <w:t>agua en siete ciudades</w:t>
      </w:r>
    </w:p>
    <w:p w:rsidR="00C4427E" w:rsidRDefault="00C4427E" w:rsidP="00C4427E">
      <w:pPr>
        <w:spacing w:after="0"/>
        <w:jc w:val="both"/>
        <w:rPr>
          <w:noProof/>
          <w:lang w:eastAsia="es-CO"/>
        </w:rPr>
      </w:pPr>
      <w:r>
        <w:rPr>
          <w:noProof/>
          <w:lang w:eastAsia="es-CO"/>
        </w:rPr>
        <w:drawing>
          <wp:inline distT="0" distB="0" distL="0" distR="0" wp14:anchorId="46104C64" wp14:editId="7A4F6833">
            <wp:extent cx="5486400" cy="2305050"/>
            <wp:effectExtent l="0" t="0" r="0" b="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4427E" w:rsidRPr="00C928C0" w:rsidRDefault="00C4427E" w:rsidP="00C4427E">
      <w:pPr>
        <w:jc w:val="both"/>
        <w:rPr>
          <w:rFonts w:ascii="Garamond" w:hAnsi="Garamond"/>
          <w:sz w:val="20"/>
          <w:szCs w:val="20"/>
        </w:rPr>
      </w:pPr>
      <w:r w:rsidRPr="00DF7BD4">
        <w:rPr>
          <w:rFonts w:ascii="Garamond" w:hAnsi="Garamond"/>
          <w:b/>
          <w:sz w:val="20"/>
          <w:szCs w:val="20"/>
        </w:rPr>
        <w:t>Fuente:</w:t>
      </w:r>
      <w:r w:rsidRPr="00C928C0">
        <w:rPr>
          <w:rFonts w:ascii="Garamond" w:hAnsi="Garamond"/>
          <w:sz w:val="20"/>
          <w:szCs w:val="20"/>
        </w:rPr>
        <w:t xml:space="preserve"> Elaboración propia a partir de </w:t>
      </w:r>
      <w:r>
        <w:rPr>
          <w:rFonts w:ascii="Garamond" w:hAnsi="Garamond"/>
          <w:sz w:val="20"/>
          <w:szCs w:val="20"/>
        </w:rPr>
        <w:t>Kennedy et al (</w:t>
      </w:r>
      <w:r w:rsidRPr="00A07FA6">
        <w:rPr>
          <w:rFonts w:ascii="Garamond" w:hAnsi="Garamond"/>
          <w:sz w:val="20"/>
          <w:szCs w:val="20"/>
        </w:rPr>
        <w:t>2015</w:t>
      </w:r>
      <w:r>
        <w:rPr>
          <w:rFonts w:ascii="Garamond" w:hAnsi="Garamond"/>
          <w:sz w:val="20"/>
          <w:szCs w:val="20"/>
        </w:rPr>
        <w:t>) y Jiménez y Santana (</w:t>
      </w:r>
      <w:r w:rsidRPr="00A07FA6">
        <w:rPr>
          <w:rFonts w:ascii="Garamond" w:hAnsi="Garamond"/>
          <w:sz w:val="20"/>
          <w:szCs w:val="20"/>
        </w:rPr>
        <w:t>2017</w:t>
      </w:r>
      <w:r>
        <w:rPr>
          <w:rFonts w:ascii="Garamond" w:hAnsi="Garamond"/>
          <w:sz w:val="20"/>
          <w:szCs w:val="20"/>
        </w:rPr>
        <w:t>).</w:t>
      </w:r>
    </w:p>
    <w:p w:rsidR="00C4427E" w:rsidRDefault="00C4427E" w:rsidP="00C4427E"/>
    <w:p w:rsidR="00FC3A85" w:rsidRDefault="00FC3A85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FC3A85" w:rsidRDefault="00FC3A85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FC3A85" w:rsidRDefault="00FC3A85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FC3A85" w:rsidRDefault="00FC3A85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FC3A85" w:rsidRDefault="00FC3A85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FC3A85" w:rsidRDefault="00FC3A85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FC3A85" w:rsidRDefault="00FC3A85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FC3A85" w:rsidRDefault="00FC3A85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FC3A85" w:rsidRDefault="00FC3A85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C4427E" w:rsidRDefault="00C4427E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>
        <w:rPr>
          <w:rFonts w:ascii="Garamond" w:hAnsi="Garamond"/>
          <w:b/>
          <w:sz w:val="24"/>
          <w:szCs w:val="24"/>
        </w:rPr>
        <w:lastRenderedPageBreak/>
        <w:t>Gráfica 6</w:t>
      </w:r>
      <w:r w:rsidRPr="00C928C0">
        <w:rPr>
          <w:rFonts w:ascii="Garamond" w:hAnsi="Garamond"/>
          <w:b/>
          <w:sz w:val="24"/>
          <w:szCs w:val="24"/>
        </w:rPr>
        <w:t>.</w:t>
      </w:r>
      <w:r>
        <w:rPr>
          <w:rFonts w:ascii="Garamond" w:hAnsi="Garamond"/>
          <w:b/>
          <w:sz w:val="24"/>
          <w:szCs w:val="24"/>
        </w:rPr>
        <w:t xml:space="preserve"> Comparativo: producción de residuos sólidos en cuatro ciudades</w:t>
      </w:r>
    </w:p>
    <w:p w:rsidR="00C4427E" w:rsidRDefault="00C4427E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:rsidR="00C4427E" w:rsidRDefault="00C4427E" w:rsidP="00C4427E">
      <w:pPr>
        <w:spacing w:after="0"/>
        <w:jc w:val="both"/>
        <w:rPr>
          <w:rFonts w:ascii="Garamond" w:hAnsi="Garamond"/>
          <w:b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5B25C875" wp14:editId="53882145">
            <wp:extent cx="5486400" cy="2076450"/>
            <wp:effectExtent l="0" t="0" r="0" b="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4427E" w:rsidRPr="00806128" w:rsidRDefault="00C4427E" w:rsidP="00C4427E">
      <w:pPr>
        <w:jc w:val="both"/>
        <w:rPr>
          <w:rFonts w:ascii="Garamond" w:hAnsi="Garamond"/>
          <w:sz w:val="20"/>
          <w:szCs w:val="20"/>
        </w:rPr>
      </w:pPr>
      <w:r w:rsidRPr="00DF7BD4">
        <w:rPr>
          <w:rFonts w:ascii="Garamond" w:hAnsi="Garamond"/>
          <w:b/>
          <w:sz w:val="20"/>
          <w:szCs w:val="20"/>
        </w:rPr>
        <w:t>Fuente:</w:t>
      </w:r>
      <w:r w:rsidRPr="00C928C0">
        <w:rPr>
          <w:rFonts w:ascii="Garamond" w:hAnsi="Garamond"/>
          <w:sz w:val="20"/>
          <w:szCs w:val="20"/>
        </w:rPr>
        <w:t xml:space="preserve"> Elaboración propia a partir de </w:t>
      </w:r>
      <w:r>
        <w:rPr>
          <w:rFonts w:ascii="Garamond" w:hAnsi="Garamond"/>
          <w:sz w:val="20"/>
          <w:szCs w:val="20"/>
        </w:rPr>
        <w:t>varias fuentes.</w:t>
      </w:r>
    </w:p>
    <w:p w:rsidR="00C4427E" w:rsidRDefault="00C4427E" w:rsidP="00C4427E"/>
    <w:sectPr w:rsidR="00C442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E" w:rsidRDefault="00C4427E" w:rsidP="00C4427E">
      <w:pPr>
        <w:spacing w:after="0" w:line="240" w:lineRule="auto"/>
      </w:pPr>
      <w:r>
        <w:separator/>
      </w:r>
    </w:p>
  </w:endnote>
  <w:endnote w:type="continuationSeparator" w:id="0">
    <w:p w:rsidR="00C4427E" w:rsidRDefault="00C4427E" w:rsidP="00C44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E" w:rsidRDefault="00C4427E" w:rsidP="00C4427E">
      <w:pPr>
        <w:spacing w:after="0" w:line="240" w:lineRule="auto"/>
      </w:pPr>
      <w:r>
        <w:separator/>
      </w:r>
    </w:p>
  </w:footnote>
  <w:footnote w:type="continuationSeparator" w:id="0">
    <w:p w:rsidR="00C4427E" w:rsidRDefault="00C4427E" w:rsidP="00C4427E">
      <w:pPr>
        <w:spacing w:after="0" w:line="240" w:lineRule="auto"/>
      </w:pPr>
      <w:r>
        <w:continuationSeparator/>
      </w:r>
    </w:p>
  </w:footnote>
  <w:footnote w:id="1">
    <w:p w:rsidR="00C4427E" w:rsidRPr="00D00FAD" w:rsidRDefault="00C4427E" w:rsidP="00C4427E">
      <w:pPr>
        <w:pStyle w:val="Textonotapie"/>
        <w:rPr>
          <w:rFonts w:ascii="Garamond" w:hAnsi="Garamond"/>
          <w:lang w:val="es-CO"/>
        </w:rPr>
      </w:pPr>
      <w:r w:rsidRPr="00D00FAD">
        <w:rPr>
          <w:rStyle w:val="Refdenotaalpie"/>
          <w:rFonts w:ascii="Garamond" w:hAnsi="Garamond"/>
        </w:rPr>
        <w:footnoteRef/>
      </w:r>
      <w:r w:rsidRPr="00D00FAD">
        <w:rPr>
          <w:rFonts w:ascii="Garamond" w:hAnsi="Garamond"/>
        </w:rPr>
        <w:t xml:space="preserve"> </w:t>
      </w:r>
      <w:proofErr w:type="spellStart"/>
      <w:r w:rsidRPr="00D00FAD">
        <w:rPr>
          <w:rFonts w:ascii="Garamond" w:hAnsi="Garamond"/>
        </w:rPr>
        <w:t>MMBtu</w:t>
      </w:r>
      <w:proofErr w:type="spellEnd"/>
      <w:r w:rsidRPr="00D00FAD">
        <w:rPr>
          <w:rFonts w:ascii="Garamond" w:hAnsi="Garamond"/>
        </w:rPr>
        <w:t xml:space="preserve"> = un millón de </w:t>
      </w:r>
      <w:proofErr w:type="spellStart"/>
      <w:r w:rsidRPr="00D00FAD">
        <w:rPr>
          <w:rFonts w:ascii="Garamond" w:hAnsi="Garamond"/>
        </w:rPr>
        <w:t>Btu</w:t>
      </w:r>
      <w:proofErr w:type="spellEnd"/>
      <w:r w:rsidRPr="00D00FAD">
        <w:rPr>
          <w:rFonts w:ascii="Garamond" w:hAnsi="Garamond"/>
        </w:rPr>
        <w:t xml:space="preserve">. </w:t>
      </w:r>
      <w:proofErr w:type="spellStart"/>
      <w:r w:rsidRPr="00D00FAD">
        <w:rPr>
          <w:rFonts w:ascii="Garamond" w:hAnsi="Garamond"/>
          <w:lang w:val="es-CO"/>
        </w:rPr>
        <w:t>Btu</w:t>
      </w:r>
      <w:proofErr w:type="spellEnd"/>
      <w:r w:rsidRPr="00D00FAD">
        <w:rPr>
          <w:rFonts w:ascii="Garamond" w:hAnsi="Garamond"/>
          <w:lang w:val="es-CO"/>
        </w:rPr>
        <w:t xml:space="preserve"> = British </w:t>
      </w:r>
      <w:proofErr w:type="spellStart"/>
      <w:r w:rsidRPr="00D00FAD">
        <w:rPr>
          <w:rFonts w:ascii="Garamond" w:hAnsi="Garamond"/>
          <w:lang w:val="es-CO"/>
        </w:rPr>
        <w:t>Thermal</w:t>
      </w:r>
      <w:proofErr w:type="spellEnd"/>
      <w:r w:rsidRPr="00D00FAD">
        <w:rPr>
          <w:rFonts w:ascii="Garamond" w:hAnsi="Garamond"/>
          <w:lang w:val="es-CO"/>
        </w:rPr>
        <w:t xml:space="preserve"> </w:t>
      </w:r>
      <w:proofErr w:type="spellStart"/>
      <w:r w:rsidRPr="00D00FAD">
        <w:rPr>
          <w:rFonts w:ascii="Garamond" w:hAnsi="Garamond"/>
          <w:lang w:val="es-CO"/>
        </w:rPr>
        <w:t>Unit</w:t>
      </w:r>
      <w:proofErr w:type="spellEnd"/>
      <w:r w:rsidRPr="00D00FAD">
        <w:rPr>
          <w:rFonts w:ascii="Garamond" w:hAnsi="Garamond"/>
          <w:lang w:val="es-CO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27E"/>
    <w:rsid w:val="00346122"/>
    <w:rsid w:val="008F17B6"/>
    <w:rsid w:val="00C4427E"/>
    <w:rsid w:val="00FC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710A0EB-0972-4992-9F07-520ED0DE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2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rsid w:val="00C44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C4427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rsid w:val="00C4427E"/>
    <w:rPr>
      <w:vertAlign w:val="superscript"/>
    </w:rPr>
  </w:style>
  <w:style w:type="table" w:styleId="Cuadrculadetablaclara">
    <w:name w:val="Grid Table Light"/>
    <w:basedOn w:val="Tablanormal"/>
    <w:uiPriority w:val="40"/>
    <w:rsid w:val="00C4427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6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Transporte</c:v>
                </c:pt>
              </c:strCache>
            </c:strRef>
          </c:tx>
          <c:spPr>
            <a:gradFill flip="none" rotWithShape="1">
              <a:gsLst>
                <a:gs pos="0">
                  <a:schemeClr val="accent1"/>
                </a:gs>
                <a:gs pos="75000">
                  <a:schemeClr val="accent1">
                    <a:lumMod val="60000"/>
                    <a:lumOff val="40000"/>
                  </a:schemeClr>
                </a:gs>
                <a:gs pos="51000">
                  <a:schemeClr val="accent1">
                    <a:alpha val="75000"/>
                  </a:schemeClr>
                </a:gs>
                <a:gs pos="100000">
                  <a:schemeClr val="accent1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Tokio 2003</c:v>
                </c:pt>
                <c:pt idx="1">
                  <c:v>Nueva York 2003</c:v>
                </c:pt>
                <c:pt idx="2">
                  <c:v>Londres 2003</c:v>
                </c:pt>
                <c:pt idx="3">
                  <c:v>Berlín 2000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38</c:v>
                </c:pt>
                <c:pt idx="1">
                  <c:v>36</c:v>
                </c:pt>
                <c:pt idx="2">
                  <c:v>25</c:v>
                </c:pt>
                <c:pt idx="3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EDC-4DA7-BEB1-85251CA37FDC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Edificaciones</c:v>
                </c:pt>
              </c:strCache>
            </c:strRef>
          </c:tx>
          <c:spPr>
            <a:gradFill flip="none" rotWithShape="1">
              <a:gsLst>
                <a:gs pos="0">
                  <a:schemeClr val="accent2"/>
                </a:gs>
                <a:gs pos="75000">
                  <a:schemeClr val="accent2">
                    <a:lumMod val="60000"/>
                    <a:lumOff val="40000"/>
                  </a:schemeClr>
                </a:gs>
                <a:gs pos="51000">
                  <a:schemeClr val="accent2">
                    <a:alpha val="75000"/>
                  </a:schemeClr>
                </a:gs>
                <a:gs pos="100000">
                  <a:schemeClr val="accent2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Tokio 2003</c:v>
                </c:pt>
                <c:pt idx="1">
                  <c:v>Nueva York 2003</c:v>
                </c:pt>
                <c:pt idx="2">
                  <c:v>Londres 2003</c:v>
                </c:pt>
                <c:pt idx="3">
                  <c:v>Berlín 2000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53</c:v>
                </c:pt>
                <c:pt idx="1">
                  <c:v>51</c:v>
                </c:pt>
                <c:pt idx="2">
                  <c:v>68</c:v>
                </c:pt>
                <c:pt idx="3">
                  <c:v>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EDC-4DA7-BEB1-85251CA37FDC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Industria</c:v>
                </c:pt>
              </c:strCache>
            </c:strRef>
          </c:tx>
          <c:spPr>
            <a:gradFill flip="none" rotWithShape="1">
              <a:gsLst>
                <a:gs pos="0">
                  <a:schemeClr val="accent3"/>
                </a:gs>
                <a:gs pos="75000">
                  <a:schemeClr val="accent3">
                    <a:lumMod val="60000"/>
                    <a:lumOff val="40000"/>
                  </a:schemeClr>
                </a:gs>
                <a:gs pos="51000">
                  <a:schemeClr val="accent3">
                    <a:alpha val="75000"/>
                  </a:schemeClr>
                </a:gs>
                <a:gs pos="100000">
                  <a:schemeClr val="accent3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Tokio 2003</c:v>
                </c:pt>
                <c:pt idx="1">
                  <c:v>Nueva York 2003</c:v>
                </c:pt>
                <c:pt idx="2">
                  <c:v>Londres 2003</c:v>
                </c:pt>
                <c:pt idx="3">
                  <c:v>Berlín 2000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38</c:v>
                </c:pt>
                <c:pt idx="1">
                  <c:v>36</c:v>
                </c:pt>
                <c:pt idx="2">
                  <c:v>25</c:v>
                </c:pt>
                <c:pt idx="3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EDC-4DA7-BEB1-85251CA37F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26"/>
        <c:overlap val="-58"/>
        <c:axId val="396551152"/>
        <c:axId val="396552720"/>
      </c:barChart>
      <c:catAx>
        <c:axId val="3965511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15000"/>
                <a:lumOff val="8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96552720"/>
        <c:crosses val="autoZero"/>
        <c:auto val="1"/>
        <c:lblAlgn val="ctr"/>
        <c:lblOffset val="100"/>
        <c:noMultiLvlLbl val="0"/>
      </c:catAx>
      <c:valAx>
        <c:axId val="39655272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99000">
                    <a:schemeClr val="tx1">
                      <a:lumMod val="25000"/>
                      <a:lumOff val="75000"/>
                    </a:schemeClr>
                  </a:gs>
                  <a:gs pos="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96551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Transporte</c:v>
                </c:pt>
              </c:strCache>
            </c:strRef>
          </c:tx>
          <c:spPr>
            <a:gradFill flip="none" rotWithShape="1">
              <a:gsLst>
                <a:gs pos="0">
                  <a:schemeClr val="accent1"/>
                </a:gs>
                <a:gs pos="75000">
                  <a:schemeClr val="accent1">
                    <a:lumMod val="60000"/>
                    <a:lumOff val="40000"/>
                  </a:schemeClr>
                </a:gs>
                <a:gs pos="51000">
                  <a:schemeClr val="accent1">
                    <a:alpha val="75000"/>
                  </a:schemeClr>
                </a:gs>
                <a:gs pos="100000">
                  <a:schemeClr val="accent1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México 2004</c:v>
                </c:pt>
                <c:pt idx="1">
                  <c:v>Hong Kong 1999</c:v>
                </c:pt>
                <c:pt idx="2">
                  <c:v>Ciudad del Cabo 2000</c:v>
                </c:pt>
                <c:pt idx="3">
                  <c:v>Buenos Aires 2000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53</c:v>
                </c:pt>
                <c:pt idx="1">
                  <c:v>58</c:v>
                </c:pt>
                <c:pt idx="2">
                  <c:v>55</c:v>
                </c:pt>
                <c:pt idx="3">
                  <c:v>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F1F-4B62-B1E6-941A4C89224B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Edificaciones</c:v>
                </c:pt>
              </c:strCache>
            </c:strRef>
          </c:tx>
          <c:spPr>
            <a:gradFill flip="none" rotWithShape="1">
              <a:gsLst>
                <a:gs pos="0">
                  <a:schemeClr val="accent2"/>
                </a:gs>
                <a:gs pos="75000">
                  <a:schemeClr val="accent2">
                    <a:lumMod val="60000"/>
                    <a:lumOff val="40000"/>
                  </a:schemeClr>
                </a:gs>
                <a:gs pos="51000">
                  <a:schemeClr val="accent2">
                    <a:alpha val="75000"/>
                  </a:schemeClr>
                </a:gs>
                <a:gs pos="100000">
                  <a:schemeClr val="accent2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México 2004</c:v>
                </c:pt>
                <c:pt idx="1">
                  <c:v>Hong Kong 1999</c:v>
                </c:pt>
                <c:pt idx="2">
                  <c:v>Ciudad del Cabo 2000</c:v>
                </c:pt>
                <c:pt idx="3">
                  <c:v>Buenos Aires 2000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13</c:v>
                </c:pt>
                <c:pt idx="1">
                  <c:v>25</c:v>
                </c:pt>
                <c:pt idx="2">
                  <c:v>22</c:v>
                </c:pt>
                <c:pt idx="3">
                  <c:v>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F1F-4B62-B1E6-941A4C89224B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Industria</c:v>
                </c:pt>
              </c:strCache>
            </c:strRef>
          </c:tx>
          <c:spPr>
            <a:gradFill flip="none" rotWithShape="1">
              <a:gsLst>
                <a:gs pos="0">
                  <a:schemeClr val="accent3"/>
                </a:gs>
                <a:gs pos="75000">
                  <a:schemeClr val="accent3">
                    <a:lumMod val="60000"/>
                    <a:lumOff val="40000"/>
                  </a:schemeClr>
                </a:gs>
                <a:gs pos="51000">
                  <a:schemeClr val="accent3">
                    <a:alpha val="75000"/>
                  </a:schemeClr>
                </a:gs>
                <a:gs pos="100000">
                  <a:schemeClr val="accent3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México 2004</c:v>
                </c:pt>
                <c:pt idx="1">
                  <c:v>Hong Kong 1999</c:v>
                </c:pt>
                <c:pt idx="2">
                  <c:v>Ciudad del Cabo 2000</c:v>
                </c:pt>
                <c:pt idx="3">
                  <c:v>Buenos Aires 2000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34</c:v>
                </c:pt>
                <c:pt idx="1">
                  <c:v>17</c:v>
                </c:pt>
                <c:pt idx="2">
                  <c:v>23</c:v>
                </c:pt>
                <c:pt idx="3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F1F-4B62-B1E6-941A4C8922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26"/>
        <c:overlap val="-58"/>
        <c:axId val="396553112"/>
        <c:axId val="396551544"/>
      </c:barChart>
      <c:catAx>
        <c:axId val="3965531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15000"/>
                <a:lumOff val="8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96551544"/>
        <c:crosses val="autoZero"/>
        <c:auto val="1"/>
        <c:lblAlgn val="ctr"/>
        <c:lblOffset val="100"/>
        <c:noMultiLvlLbl val="0"/>
      </c:catAx>
      <c:valAx>
        <c:axId val="396551544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99000">
                    <a:schemeClr val="tx1">
                      <a:lumMod val="25000"/>
                      <a:lumOff val="75000"/>
                    </a:schemeClr>
                  </a:gs>
                  <a:gs pos="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96553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Transporte</c:v>
                </c:pt>
              </c:strCache>
            </c:strRef>
          </c:tx>
          <c:spPr>
            <a:gradFill flip="none" rotWithShape="1">
              <a:gsLst>
                <a:gs pos="0">
                  <a:schemeClr val="accent1"/>
                </a:gs>
                <a:gs pos="75000">
                  <a:schemeClr val="accent1">
                    <a:lumMod val="60000"/>
                    <a:lumOff val="40000"/>
                  </a:schemeClr>
                </a:gs>
                <a:gs pos="51000">
                  <a:schemeClr val="accent1">
                    <a:alpha val="75000"/>
                  </a:schemeClr>
                </a:gs>
                <a:gs pos="100000">
                  <a:schemeClr val="accent1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3"/>
                <c:pt idx="0">
                  <c:v>Shanghái 1998</c:v>
                </c:pt>
                <c:pt idx="1">
                  <c:v>Calcuta 2005</c:v>
                </c:pt>
                <c:pt idx="2">
                  <c:v>Beijink 1998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3"/>
                <c:pt idx="0">
                  <c:v>10</c:v>
                </c:pt>
                <c:pt idx="1">
                  <c:v>12</c:v>
                </c:pt>
                <c:pt idx="2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323-47CD-8AC9-410128F582D8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Edificaciones</c:v>
                </c:pt>
              </c:strCache>
            </c:strRef>
          </c:tx>
          <c:spPr>
            <a:gradFill flip="none" rotWithShape="1">
              <a:gsLst>
                <a:gs pos="0">
                  <a:schemeClr val="accent2"/>
                </a:gs>
                <a:gs pos="75000">
                  <a:schemeClr val="accent2">
                    <a:lumMod val="60000"/>
                    <a:lumOff val="40000"/>
                  </a:schemeClr>
                </a:gs>
                <a:gs pos="51000">
                  <a:schemeClr val="accent2">
                    <a:alpha val="75000"/>
                  </a:schemeClr>
                </a:gs>
                <a:gs pos="100000">
                  <a:schemeClr val="accent2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3"/>
                <c:pt idx="0">
                  <c:v>Shanghái 1998</c:v>
                </c:pt>
                <c:pt idx="1">
                  <c:v>Calcuta 2005</c:v>
                </c:pt>
                <c:pt idx="2">
                  <c:v>Beijink 1998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3"/>
                <c:pt idx="0">
                  <c:v>10</c:v>
                </c:pt>
                <c:pt idx="1">
                  <c:v>32</c:v>
                </c:pt>
                <c:pt idx="2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23-47CD-8AC9-410128F582D8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Industria</c:v>
                </c:pt>
              </c:strCache>
            </c:strRef>
          </c:tx>
          <c:spPr>
            <a:gradFill flip="none" rotWithShape="1">
              <a:gsLst>
                <a:gs pos="0">
                  <a:schemeClr val="accent3"/>
                </a:gs>
                <a:gs pos="75000">
                  <a:schemeClr val="accent3">
                    <a:lumMod val="60000"/>
                    <a:lumOff val="40000"/>
                  </a:schemeClr>
                </a:gs>
                <a:gs pos="51000">
                  <a:schemeClr val="accent3">
                    <a:alpha val="75000"/>
                  </a:schemeClr>
                </a:gs>
                <a:gs pos="100000">
                  <a:schemeClr val="accent3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3"/>
                <c:pt idx="0">
                  <c:v>Shanghái 1998</c:v>
                </c:pt>
                <c:pt idx="1">
                  <c:v>Calcuta 2005</c:v>
                </c:pt>
                <c:pt idx="2">
                  <c:v>Beijink 1998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3"/>
                <c:pt idx="0">
                  <c:v>80</c:v>
                </c:pt>
                <c:pt idx="1">
                  <c:v>56</c:v>
                </c:pt>
                <c:pt idx="2">
                  <c:v>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323-47CD-8AC9-410128F582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26"/>
        <c:overlap val="-58"/>
        <c:axId val="395058152"/>
        <c:axId val="395061288"/>
      </c:barChart>
      <c:catAx>
        <c:axId val="3950581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15000"/>
                <a:lumOff val="8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95061288"/>
        <c:crosses val="autoZero"/>
        <c:auto val="1"/>
        <c:lblAlgn val="ctr"/>
        <c:lblOffset val="100"/>
        <c:noMultiLvlLbl val="0"/>
      </c:catAx>
      <c:valAx>
        <c:axId val="395061288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99000">
                    <a:schemeClr val="tx1">
                      <a:lumMod val="25000"/>
                      <a:lumOff val="75000"/>
                    </a:schemeClr>
                  </a:gs>
                  <a:gs pos="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95058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2010</c:v>
                </c:pt>
              </c:strCache>
            </c:strRef>
          </c:tx>
          <c:spPr>
            <a:gradFill flip="none" rotWithShape="1">
              <a:gsLst>
                <a:gs pos="0">
                  <a:schemeClr val="accent1"/>
                </a:gs>
                <a:gs pos="75000">
                  <a:schemeClr val="accent1">
                    <a:lumMod val="60000"/>
                    <a:lumOff val="40000"/>
                  </a:schemeClr>
                </a:gs>
                <a:gs pos="51000">
                  <a:schemeClr val="accent1">
                    <a:alpha val="75000"/>
                  </a:schemeClr>
                </a:gs>
                <a:gs pos="100000">
                  <a:schemeClr val="accent1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Hoja1!$A$2:$A$4</c:f>
              <c:strCache>
                <c:ptCount val="3"/>
                <c:pt idx="0">
                  <c:v>Occidente industrializado</c:v>
                </c:pt>
                <c:pt idx="1">
                  <c:v>Asia</c:v>
                </c:pt>
                <c:pt idx="2">
                  <c:v>América Latina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13.8</c:v>
                </c:pt>
                <c:pt idx="1">
                  <c:v>34</c:v>
                </c:pt>
                <c:pt idx="2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BA6-4A2D-AE70-DC105531A7E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1980</c:v>
                </c:pt>
              </c:strCache>
            </c:strRef>
          </c:tx>
          <c:spPr>
            <a:gradFill flip="none" rotWithShape="1">
              <a:gsLst>
                <a:gs pos="0">
                  <a:schemeClr val="accent2"/>
                </a:gs>
                <a:gs pos="75000">
                  <a:schemeClr val="accent2">
                    <a:lumMod val="60000"/>
                    <a:lumOff val="40000"/>
                  </a:schemeClr>
                </a:gs>
                <a:gs pos="51000">
                  <a:schemeClr val="accent2">
                    <a:alpha val="75000"/>
                  </a:schemeClr>
                </a:gs>
                <a:gs pos="100000">
                  <a:schemeClr val="accent2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Hoja1!$A$2:$A$4</c:f>
              <c:strCache>
                <c:ptCount val="3"/>
                <c:pt idx="0">
                  <c:v>Occidente industrializado</c:v>
                </c:pt>
                <c:pt idx="1">
                  <c:v>Asia</c:v>
                </c:pt>
                <c:pt idx="2">
                  <c:v>América Latina</c:v>
                </c:pt>
              </c:strCache>
            </c:strRef>
          </c:cat>
          <c:val>
            <c:numRef>
              <c:f>Hoja1!$C$2:$C$4</c:f>
              <c:numCache>
                <c:formatCode>General</c:formatCode>
                <c:ptCount val="3"/>
                <c:pt idx="0">
                  <c:v>12.4</c:v>
                </c:pt>
                <c:pt idx="1">
                  <c:v>7.5</c:v>
                </c:pt>
                <c:pt idx="2">
                  <c:v>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BA6-4A2D-AE70-DC105531A7E9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1950</c:v>
                </c:pt>
              </c:strCache>
            </c:strRef>
          </c:tx>
          <c:spPr>
            <a:gradFill flip="none" rotWithShape="1">
              <a:gsLst>
                <a:gs pos="0">
                  <a:schemeClr val="accent3"/>
                </a:gs>
                <a:gs pos="75000">
                  <a:schemeClr val="accent3">
                    <a:lumMod val="60000"/>
                    <a:lumOff val="40000"/>
                  </a:schemeClr>
                </a:gs>
                <a:gs pos="51000">
                  <a:schemeClr val="accent3">
                    <a:alpha val="75000"/>
                  </a:schemeClr>
                </a:gs>
                <a:gs pos="100000">
                  <a:schemeClr val="accent3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Hoja1!$A$2:$A$4</c:f>
              <c:strCache>
                <c:ptCount val="3"/>
                <c:pt idx="0">
                  <c:v>Occidente industrializado</c:v>
                </c:pt>
                <c:pt idx="1">
                  <c:v>Asia</c:v>
                </c:pt>
                <c:pt idx="2">
                  <c:v>América Latina</c:v>
                </c:pt>
              </c:strCache>
            </c:strRef>
          </c:cat>
          <c:val>
            <c:numRef>
              <c:f>Hoja1!$D$2:$D$4</c:f>
              <c:numCache>
                <c:formatCode>General</c:formatCode>
                <c:ptCount val="3"/>
                <c:pt idx="0">
                  <c:v>6.8</c:v>
                </c:pt>
                <c:pt idx="1">
                  <c:v>1</c:v>
                </c:pt>
                <c:pt idx="2">
                  <c:v>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BA6-4A2D-AE70-DC105531A7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26"/>
        <c:overlap val="-58"/>
        <c:axId val="337615912"/>
        <c:axId val="337616696"/>
      </c:barChart>
      <c:catAx>
        <c:axId val="3376159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15000"/>
                <a:lumOff val="8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37616696"/>
        <c:crosses val="autoZero"/>
        <c:auto val="1"/>
        <c:lblAlgn val="ctr"/>
        <c:lblOffset val="100"/>
        <c:noMultiLvlLbl val="0"/>
      </c:catAx>
      <c:valAx>
        <c:axId val="337616696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99000">
                    <a:schemeClr val="tx1">
                      <a:lumMod val="25000"/>
                      <a:lumOff val="75000"/>
                    </a:schemeClr>
                  </a:gs>
                  <a:gs pos="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37615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Millones de megalitros</c:v>
                </c:pt>
              </c:strCache>
            </c:strRef>
          </c:tx>
          <c:spPr>
            <a:gradFill flip="none" rotWithShape="1">
              <a:gsLst>
                <a:gs pos="0">
                  <a:schemeClr val="accent1"/>
                </a:gs>
                <a:gs pos="75000">
                  <a:schemeClr val="accent1">
                    <a:lumMod val="60000"/>
                    <a:lumOff val="40000"/>
                  </a:schemeClr>
                </a:gs>
                <a:gs pos="51000">
                  <a:schemeClr val="accent1">
                    <a:alpha val="75000"/>
                  </a:schemeClr>
                </a:gs>
                <a:gs pos="100000">
                  <a:schemeClr val="accent1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Hoja1!$A$2:$A$8</c:f>
              <c:strCache>
                <c:ptCount val="7"/>
                <c:pt idx="0">
                  <c:v>Bogotá 2016</c:v>
                </c:pt>
                <c:pt idx="1">
                  <c:v>Sao Paulo 2014</c:v>
                </c:pt>
                <c:pt idx="2">
                  <c:v>El Cairo 2014</c:v>
                </c:pt>
                <c:pt idx="3">
                  <c:v>México D. F. 2014</c:v>
                </c:pt>
                <c:pt idx="4">
                  <c:v>Tokio 2014</c:v>
                </c:pt>
                <c:pt idx="5">
                  <c:v>Shangái 2014</c:v>
                </c:pt>
                <c:pt idx="6">
                  <c:v>Nueva York 2014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0.31</c:v>
                </c:pt>
                <c:pt idx="1">
                  <c:v>2.1</c:v>
                </c:pt>
                <c:pt idx="2">
                  <c:v>2.1</c:v>
                </c:pt>
                <c:pt idx="3">
                  <c:v>3</c:v>
                </c:pt>
                <c:pt idx="4">
                  <c:v>4</c:v>
                </c:pt>
                <c:pt idx="5">
                  <c:v>7.5</c:v>
                </c:pt>
                <c:pt idx="6">
                  <c:v>10.9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136-4DDA-90DA-60DF1457EC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26"/>
        <c:overlap val="-58"/>
        <c:axId val="337617088"/>
        <c:axId val="259930304"/>
      </c:barChart>
      <c:catAx>
        <c:axId val="3376170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15000"/>
                <a:lumOff val="8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59930304"/>
        <c:crosses val="autoZero"/>
        <c:auto val="1"/>
        <c:lblAlgn val="ctr"/>
        <c:lblOffset val="100"/>
        <c:noMultiLvlLbl val="0"/>
      </c:catAx>
      <c:valAx>
        <c:axId val="259930304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99000">
                    <a:schemeClr val="tx1">
                      <a:lumMod val="25000"/>
                      <a:lumOff val="75000"/>
                    </a:schemeClr>
                  </a:gs>
                  <a:gs pos="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376170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spPr>
            <a:gradFill flip="none" rotWithShape="1">
              <a:gsLst>
                <a:gs pos="0">
                  <a:schemeClr val="accent1"/>
                </a:gs>
                <a:gs pos="75000">
                  <a:schemeClr val="accent1">
                    <a:lumMod val="60000"/>
                    <a:lumOff val="40000"/>
                  </a:schemeClr>
                </a:gs>
                <a:gs pos="51000">
                  <a:schemeClr val="accent1">
                    <a:alpha val="75000"/>
                  </a:schemeClr>
                </a:gs>
                <a:gs pos="100000">
                  <a:schemeClr val="accent1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Bogotá 2014</c:v>
                </c:pt>
                <c:pt idx="1">
                  <c:v>Buenos Aires 2010</c:v>
                </c:pt>
                <c:pt idx="2">
                  <c:v>México D. F. 2015</c:v>
                </c:pt>
                <c:pt idx="3">
                  <c:v>Nueva York 2014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BF9-4869-9F21-2F54FE6324F8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Millones de toneladas</c:v>
                </c:pt>
              </c:strCache>
            </c:strRef>
          </c:tx>
          <c:spPr>
            <a:gradFill flip="none" rotWithShape="1">
              <a:gsLst>
                <a:gs pos="0">
                  <a:schemeClr val="accent2"/>
                </a:gs>
                <a:gs pos="75000">
                  <a:schemeClr val="accent2">
                    <a:lumMod val="60000"/>
                    <a:lumOff val="40000"/>
                  </a:schemeClr>
                </a:gs>
                <a:gs pos="51000">
                  <a:schemeClr val="accent2">
                    <a:alpha val="75000"/>
                  </a:schemeClr>
                </a:gs>
                <a:gs pos="100000">
                  <a:schemeClr val="accent2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Bogotá 2014</c:v>
                </c:pt>
                <c:pt idx="1">
                  <c:v>Buenos Aires 2010</c:v>
                </c:pt>
                <c:pt idx="2">
                  <c:v>México D. F. 2015</c:v>
                </c:pt>
                <c:pt idx="3">
                  <c:v>Nueva York 2014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2.2999999999999998</c:v>
                </c:pt>
                <c:pt idx="1">
                  <c:v>4.8</c:v>
                </c:pt>
                <c:pt idx="2">
                  <c:v>4.7</c:v>
                </c:pt>
                <c:pt idx="3">
                  <c:v>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BF9-4869-9F21-2F54FE6324F8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Columna2</c:v>
                </c:pt>
              </c:strCache>
            </c:strRef>
          </c:tx>
          <c:spPr>
            <a:gradFill flip="none" rotWithShape="1">
              <a:gsLst>
                <a:gs pos="0">
                  <a:schemeClr val="accent3"/>
                </a:gs>
                <a:gs pos="75000">
                  <a:schemeClr val="accent3">
                    <a:lumMod val="60000"/>
                    <a:lumOff val="40000"/>
                  </a:schemeClr>
                </a:gs>
                <a:gs pos="51000">
                  <a:schemeClr val="accent3">
                    <a:alpha val="75000"/>
                  </a:schemeClr>
                </a:gs>
                <a:gs pos="100000">
                  <a:schemeClr val="accent3">
                    <a:lumMod val="20000"/>
                    <a:lumOff val="80000"/>
                    <a:alpha val="15000"/>
                  </a:scheme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Bogotá 2014</c:v>
                </c:pt>
                <c:pt idx="1">
                  <c:v>Buenos Aires 2010</c:v>
                </c:pt>
                <c:pt idx="2">
                  <c:v>México D. F. 2015</c:v>
                </c:pt>
                <c:pt idx="3">
                  <c:v>Nueva York 2014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BF9-4869-9F21-2F54FE6324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26"/>
        <c:overlap val="-58"/>
        <c:axId val="259930696"/>
        <c:axId val="259931480"/>
      </c:barChart>
      <c:catAx>
        <c:axId val="2599306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15000"/>
                <a:lumOff val="8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59931480"/>
        <c:crosses val="autoZero"/>
        <c:auto val="1"/>
        <c:lblAlgn val="ctr"/>
        <c:lblOffset val="100"/>
        <c:noMultiLvlLbl val="0"/>
      </c:catAx>
      <c:valAx>
        <c:axId val="25993148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99000">
                    <a:schemeClr val="tx1">
                      <a:lumMod val="25000"/>
                      <a:lumOff val="75000"/>
                    </a:schemeClr>
                  </a:gs>
                  <a:gs pos="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599306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egendEntry>
        <c:idx val="2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99000">
              <a:schemeClr val="tx1">
                <a:lumMod val="25000"/>
                <a:lumOff val="75000"/>
              </a:schemeClr>
            </a:gs>
            <a:gs pos="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15000"/>
                <a:lumOff val="85000"/>
              </a:schemeClr>
            </a:gs>
            <a:gs pos="0">
              <a:schemeClr val="tx1">
                <a:lumMod val="5000"/>
                <a:lumOff val="9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2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99000">
              <a:schemeClr val="tx1">
                <a:lumMod val="25000"/>
                <a:lumOff val="75000"/>
              </a:schemeClr>
            </a:gs>
            <a:gs pos="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15000"/>
                <a:lumOff val="85000"/>
              </a:schemeClr>
            </a:gs>
            <a:gs pos="0">
              <a:schemeClr val="tx1">
                <a:lumMod val="5000"/>
                <a:lumOff val="9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2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99000">
              <a:schemeClr val="tx1">
                <a:lumMod val="25000"/>
                <a:lumOff val="75000"/>
              </a:schemeClr>
            </a:gs>
            <a:gs pos="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15000"/>
                <a:lumOff val="85000"/>
              </a:schemeClr>
            </a:gs>
            <a:gs pos="0">
              <a:schemeClr val="tx1">
                <a:lumMod val="5000"/>
                <a:lumOff val="9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2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99000">
              <a:schemeClr val="tx1">
                <a:lumMod val="25000"/>
                <a:lumOff val="75000"/>
              </a:schemeClr>
            </a:gs>
            <a:gs pos="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15000"/>
                <a:lumOff val="85000"/>
              </a:schemeClr>
            </a:gs>
            <a:gs pos="0">
              <a:schemeClr val="tx1">
                <a:lumMod val="5000"/>
                <a:lumOff val="9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2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99000">
              <a:schemeClr val="tx1">
                <a:lumMod val="25000"/>
                <a:lumOff val="75000"/>
              </a:schemeClr>
            </a:gs>
            <a:gs pos="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15000"/>
                <a:lumOff val="85000"/>
              </a:schemeClr>
            </a:gs>
            <a:gs pos="0">
              <a:schemeClr val="tx1">
                <a:lumMod val="5000"/>
                <a:lumOff val="9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2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  <a:tileRect/>
      </a:gra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99000">
              <a:schemeClr val="tx1">
                <a:lumMod val="25000"/>
                <a:lumOff val="75000"/>
              </a:schemeClr>
            </a:gs>
            <a:gs pos="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tx1">
                <a:lumMod val="15000"/>
                <a:lumOff val="85000"/>
              </a:schemeClr>
            </a:gs>
            <a:gs pos="0">
              <a:schemeClr val="tx1">
                <a:lumMod val="5000"/>
                <a:lumOff val="9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211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2018-03-21T17:40:00Z</dcterms:created>
  <dcterms:modified xsi:type="dcterms:W3CDTF">2018-03-21T20:34:00Z</dcterms:modified>
</cp:coreProperties>
</file>