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7D" w:rsidRDefault="0071587D" w:rsidP="0071587D">
      <w:pPr>
        <w:ind w:firstLine="0"/>
      </w:pPr>
      <w:r>
        <w:rPr>
          <w:noProof/>
          <w:lang w:val="pt-BR" w:eastAsia="pt-BR"/>
        </w:rPr>
        <w:drawing>
          <wp:inline distT="0" distB="0" distL="0" distR="0" wp14:anchorId="4DF2A6A4" wp14:editId="70EFCEBF">
            <wp:extent cx="5612130" cy="5526113"/>
            <wp:effectExtent l="0" t="0" r="26670" b="1778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F59AD" w:rsidRPr="004B5ED2" w:rsidRDefault="002F59AD" w:rsidP="002F59AD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 xml:space="preserve">Figura </w:t>
      </w:r>
      <w:r w:rsidRPr="004B5ED2">
        <w:rPr>
          <w:iCs/>
          <w:color w:val="0F243E" w:themeColor="text2" w:themeShade="80"/>
          <w:sz w:val="22"/>
          <w:szCs w:val="18"/>
        </w:rPr>
        <w:fldChar w:fldCharType="begin"/>
      </w:r>
      <w:r w:rsidRPr="004B5ED2">
        <w:rPr>
          <w:iCs/>
          <w:color w:val="0F243E" w:themeColor="text2" w:themeShade="80"/>
          <w:sz w:val="22"/>
          <w:szCs w:val="18"/>
        </w:rPr>
        <w:instrText xml:space="preserve"> SEQ Figura \* ARABIC </w:instrText>
      </w:r>
      <w:r w:rsidRPr="004B5ED2">
        <w:rPr>
          <w:iCs/>
          <w:color w:val="0F243E" w:themeColor="text2" w:themeShade="80"/>
          <w:sz w:val="22"/>
          <w:szCs w:val="18"/>
        </w:rPr>
        <w:fldChar w:fldCharType="separate"/>
      </w:r>
      <w:r w:rsidRPr="004B5ED2">
        <w:rPr>
          <w:iCs/>
          <w:color w:val="0F243E" w:themeColor="text2" w:themeShade="80"/>
          <w:sz w:val="22"/>
          <w:szCs w:val="18"/>
        </w:rPr>
        <w:t>1</w:t>
      </w:r>
      <w:r w:rsidRPr="004B5ED2">
        <w:rPr>
          <w:iCs/>
          <w:color w:val="0F243E" w:themeColor="text2" w:themeShade="80"/>
          <w:sz w:val="22"/>
          <w:szCs w:val="18"/>
        </w:rPr>
        <w:fldChar w:fldCharType="end"/>
      </w:r>
      <w:r w:rsidRPr="004B5ED2">
        <w:rPr>
          <w:iCs/>
          <w:color w:val="0F243E" w:themeColor="text2" w:themeShade="80"/>
          <w:sz w:val="22"/>
          <w:szCs w:val="18"/>
        </w:rPr>
        <w:t xml:space="preserve"> </w:t>
      </w:r>
      <w:r w:rsidR="0014005C" w:rsidRPr="0014005C">
        <w:rPr>
          <w:iCs/>
          <w:color w:val="0F243E" w:themeColor="text2" w:themeShade="80"/>
          <w:sz w:val="22"/>
          <w:szCs w:val="18"/>
        </w:rPr>
        <w:t>Cuantidad de productores de casas de madera de acuerdo a la técnica</w:t>
      </w:r>
    </w:p>
    <w:p w:rsidR="002F59AD" w:rsidRDefault="002F59AD" w:rsidP="002F59AD">
      <w:r w:rsidRPr="004B5ED2">
        <w:rPr>
          <w:iCs/>
          <w:color w:val="0F243E" w:themeColor="text2" w:themeShade="80"/>
          <w:sz w:val="22"/>
          <w:szCs w:val="18"/>
        </w:rPr>
        <w:t xml:space="preserve">Fuente: </w:t>
      </w:r>
      <w:r>
        <w:rPr>
          <w:iCs/>
          <w:color w:val="0F243E" w:themeColor="text2" w:themeShade="80"/>
          <w:sz w:val="22"/>
          <w:szCs w:val="18"/>
        </w:rPr>
        <w:t xml:space="preserve">elaboración propia, </w:t>
      </w:r>
      <w:r w:rsidR="0014005C">
        <w:rPr>
          <w:iCs/>
          <w:color w:val="0F243E" w:themeColor="text2" w:themeShade="80"/>
          <w:sz w:val="22"/>
          <w:szCs w:val="18"/>
        </w:rPr>
        <w:t>201</w:t>
      </w:r>
      <w:r w:rsidR="00925FF6">
        <w:rPr>
          <w:iCs/>
          <w:color w:val="0F243E" w:themeColor="text2" w:themeShade="80"/>
          <w:sz w:val="22"/>
          <w:szCs w:val="18"/>
        </w:rPr>
        <w:t>7</w:t>
      </w:r>
      <w:r>
        <w:rPr>
          <w:iCs/>
          <w:color w:val="0F243E" w:themeColor="text2" w:themeShade="80"/>
          <w:sz w:val="22"/>
          <w:szCs w:val="18"/>
        </w:rPr>
        <w:t xml:space="preserve"> </w:t>
      </w:r>
      <w:sdt>
        <w:sdtPr>
          <w:alias w:val="Licencia de material elaborado por el autor"/>
          <w:tag w:val="Tipo de licencia"/>
          <w:id w:val="-914858360"/>
          <w:dropDownList>
            <w:listItem w:value="Elija una licencia"/>
            <w:listItem w:displayText="© Copyright" w:value="©"/>
            <w:listItem w:displayText="CC BY" w:value="CC BY"/>
            <w:listItem w:displayText="CC BY-ND" w:value="CC BY-ND"/>
            <w:listItem w:displayText="CC BY-NC-ND" w:value="CC BY-NC-ND"/>
            <w:listItem w:displayText="CC BY-NC" w:value="CC BY-NC"/>
            <w:listItem w:displayText="CC BY-NC-SA" w:value="CC BY-NC-SA"/>
            <w:listItem w:displayText="CC BY-SA" w:value="CC BY-SA"/>
            <w:listItem w:displayText="Dominio público" w:value="Dominio público"/>
            <w:listItem w:displayText="Más información: http://co.creativecommons.org/" w:value=""/>
          </w:dropDownList>
        </w:sdtPr>
        <w:sdtEndPr/>
        <w:sdtContent>
          <w:r w:rsidR="00454ACA">
            <w:t>CC BY-SA</w:t>
          </w:r>
        </w:sdtContent>
      </w:sdt>
      <w:bookmarkStart w:id="0" w:name="_GoBack"/>
      <w:bookmarkEnd w:id="0"/>
    </w:p>
    <w:sectPr w:rsidR="002F59AD" w:rsidSect="00787B93">
      <w:headerReference w:type="default" r:id="rId10"/>
      <w:footerReference w:type="default" r:id="rId11"/>
      <w:pgSz w:w="12240" w:h="15840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61D" w:rsidRDefault="0026761D" w:rsidP="00755B5D">
      <w:r>
        <w:separator/>
      </w:r>
    </w:p>
  </w:endnote>
  <w:endnote w:type="continuationSeparator" w:id="0">
    <w:p w:rsidR="0026761D" w:rsidRDefault="0026761D" w:rsidP="0075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dash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4252"/>
      <w:gridCol w:w="2066"/>
    </w:tblGrid>
    <w:tr w:rsidR="00CB62CD" w:rsidRPr="00E245D5" w:rsidTr="00312448">
      <w:tc>
        <w:tcPr>
          <w:tcW w:w="2660" w:type="dxa"/>
        </w:tcPr>
        <w:p w:rsidR="00CB62CD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bookmarkStart w:id="1" w:name="_Hlk483822732"/>
          <w:r w:rsidRPr="00E245D5">
            <w:rPr>
              <w:sz w:val="16"/>
              <w:szCs w:val="16"/>
            </w:rPr>
            <w:t xml:space="preserve">Universidad Católica de Colombia 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t>Revista de Arquitectura</w:t>
          </w:r>
        </w:p>
      </w:tc>
      <w:tc>
        <w:tcPr>
          <w:tcW w:w="4252" w:type="dxa"/>
          <w:vAlign w:val="center"/>
        </w:tcPr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fldChar w:fldCharType="begin"/>
          </w:r>
          <w:r w:rsidRPr="00E245D5">
            <w:rPr>
              <w:sz w:val="16"/>
              <w:szCs w:val="16"/>
            </w:rPr>
            <w:instrText xml:space="preserve"> FILENAME  \* Lower  \* MERGEFORMAT </w:instrText>
          </w:r>
          <w:r w:rsidRPr="00E245D5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plantilla revarq</w:t>
          </w:r>
          <w:r w:rsidRPr="00E245D5">
            <w:rPr>
              <w:sz w:val="16"/>
              <w:szCs w:val="16"/>
            </w:rPr>
            <w:fldChar w:fldCharType="end"/>
          </w:r>
        </w:p>
      </w:tc>
      <w:tc>
        <w:tcPr>
          <w:tcW w:w="2066" w:type="dxa"/>
          <w:vAlign w:val="center"/>
        </w:tcPr>
        <w:p w:rsidR="00CB62CD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  <w:lang w:val="es-ES"/>
            </w:rPr>
          </w:pPr>
          <w:r>
            <w:rPr>
              <w:sz w:val="16"/>
              <w:szCs w:val="16"/>
              <w:lang w:val="es-ES"/>
            </w:rPr>
            <w:t>Fecha de postulación: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312448">
            <w:rPr>
              <w:color w:val="FF0000"/>
              <w:sz w:val="16"/>
              <w:szCs w:val="16"/>
              <w:lang w:val="es-ES"/>
            </w:rPr>
            <w:t>Año - mes - día</w:t>
          </w:r>
        </w:p>
      </w:tc>
    </w:tr>
    <w:bookmarkEnd w:id="1"/>
  </w:tbl>
  <w:p w:rsidR="00CB62CD" w:rsidRDefault="00CB62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61D" w:rsidRDefault="0026761D" w:rsidP="00755B5D">
      <w:r>
        <w:separator/>
      </w:r>
    </w:p>
  </w:footnote>
  <w:footnote w:type="continuationSeparator" w:id="0">
    <w:p w:rsidR="0026761D" w:rsidRDefault="0026761D" w:rsidP="00755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423"/>
      <w:gridCol w:w="555"/>
    </w:tblGrid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  <w:lang w:val="es-ES_tradnl"/>
            </w:rPr>
            <w:t>Habitación de madera en Brasil y su sector</w:t>
          </w:r>
        </w:p>
      </w:tc>
      <w:tc>
        <w:tcPr>
          <w:tcW w:w="309" w:type="pct"/>
          <w:vMerge w:val="restart"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cs="Arial"/>
              <w:sz w:val="16"/>
              <w:szCs w:val="16"/>
            </w:rPr>
          </w:pP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\* Arabic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0758EB" w:rsidRPr="000758EB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0758EB" w:rsidRPr="000758EB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</w:p>
      </w:tc>
    </w:tr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</w:rPr>
            <w:t xml:space="preserve">De Araujo, V.A., </w:t>
          </w:r>
          <w:proofErr w:type="spellStart"/>
          <w:r>
            <w:rPr>
              <w:sz w:val="16"/>
              <w:szCs w:val="16"/>
            </w:rPr>
            <w:t>Gutierrez</w:t>
          </w:r>
          <w:proofErr w:type="spellEnd"/>
          <w:r>
            <w:rPr>
              <w:sz w:val="16"/>
              <w:szCs w:val="16"/>
            </w:rPr>
            <w:t xml:space="preserve">-Aguilar, C.M., Cortez-Barbosa, J., </w:t>
          </w:r>
          <w:proofErr w:type="spellStart"/>
          <w:r>
            <w:rPr>
              <w:sz w:val="16"/>
              <w:szCs w:val="16"/>
            </w:rPr>
            <w:t>Gava</w:t>
          </w:r>
          <w:proofErr w:type="spellEnd"/>
          <w:r>
            <w:rPr>
              <w:sz w:val="16"/>
              <w:szCs w:val="16"/>
            </w:rPr>
            <w:t xml:space="preserve">, M., y </w:t>
          </w:r>
          <w:proofErr w:type="spellStart"/>
          <w:r>
            <w:rPr>
              <w:sz w:val="16"/>
              <w:szCs w:val="16"/>
            </w:rPr>
            <w:t>Garcia</w:t>
          </w:r>
          <w:proofErr w:type="spellEnd"/>
          <w:r>
            <w:rPr>
              <w:sz w:val="16"/>
              <w:szCs w:val="16"/>
            </w:rPr>
            <w:t>, J.N.</w:t>
          </w:r>
        </w:p>
      </w:tc>
      <w:tc>
        <w:tcPr>
          <w:tcW w:w="309" w:type="pct"/>
          <w:vMerge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ascii="Times New Roman" w:hAnsi="Times New Roman"/>
              <w:sz w:val="16"/>
              <w:szCs w:val="16"/>
            </w:rPr>
          </w:pPr>
        </w:p>
      </w:tc>
    </w:tr>
  </w:tbl>
  <w:p w:rsidR="00CB62CD" w:rsidRPr="00F34083" w:rsidRDefault="00CB62CD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320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ACC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69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A7C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22A7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5259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3E9F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CE6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BE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FE3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05A4A"/>
    <w:multiLevelType w:val="hybridMultilevel"/>
    <w:tmpl w:val="47A4F5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E1137"/>
    <w:multiLevelType w:val="hybridMultilevel"/>
    <w:tmpl w:val="215892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51D47"/>
    <w:multiLevelType w:val="hybridMultilevel"/>
    <w:tmpl w:val="B73040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73C87"/>
    <w:multiLevelType w:val="hybridMultilevel"/>
    <w:tmpl w:val="7262AB10"/>
    <w:lvl w:ilvl="0" w:tplc="CE0C3C5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56AF8"/>
    <w:multiLevelType w:val="hybridMultilevel"/>
    <w:tmpl w:val="0900B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67DA4"/>
    <w:multiLevelType w:val="hybridMultilevel"/>
    <w:tmpl w:val="FF6204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80"/>
    <w:rsid w:val="00004E09"/>
    <w:rsid w:val="00012D2A"/>
    <w:rsid w:val="0002543F"/>
    <w:rsid w:val="00027237"/>
    <w:rsid w:val="00034945"/>
    <w:rsid w:val="000441D5"/>
    <w:rsid w:val="00060041"/>
    <w:rsid w:val="0007123F"/>
    <w:rsid w:val="000758EB"/>
    <w:rsid w:val="00084DCB"/>
    <w:rsid w:val="000A03CB"/>
    <w:rsid w:val="000A634A"/>
    <w:rsid w:val="000A6EF3"/>
    <w:rsid w:val="000C35E4"/>
    <w:rsid w:val="000C43BA"/>
    <w:rsid w:val="000C541C"/>
    <w:rsid w:val="000D1192"/>
    <w:rsid w:val="000E5F80"/>
    <w:rsid w:val="000E6CA9"/>
    <w:rsid w:val="000F048F"/>
    <w:rsid w:val="001165BF"/>
    <w:rsid w:val="0012605D"/>
    <w:rsid w:val="00130E63"/>
    <w:rsid w:val="00132AD3"/>
    <w:rsid w:val="0014005C"/>
    <w:rsid w:val="00142EFF"/>
    <w:rsid w:val="0014386B"/>
    <w:rsid w:val="0014436A"/>
    <w:rsid w:val="00144AF6"/>
    <w:rsid w:val="001503F0"/>
    <w:rsid w:val="00152A94"/>
    <w:rsid w:val="00155614"/>
    <w:rsid w:val="00190A33"/>
    <w:rsid w:val="001A5260"/>
    <w:rsid w:val="001B7BEA"/>
    <w:rsid w:val="001C16D1"/>
    <w:rsid w:val="001C7D7E"/>
    <w:rsid w:val="001D7C28"/>
    <w:rsid w:val="001E0A4D"/>
    <w:rsid w:val="001E3667"/>
    <w:rsid w:val="001E4300"/>
    <w:rsid w:val="0022168A"/>
    <w:rsid w:val="00254C3E"/>
    <w:rsid w:val="00255B42"/>
    <w:rsid w:val="0026761D"/>
    <w:rsid w:val="002741E5"/>
    <w:rsid w:val="0027704B"/>
    <w:rsid w:val="00292328"/>
    <w:rsid w:val="002A2286"/>
    <w:rsid w:val="002D025A"/>
    <w:rsid w:val="002E5D52"/>
    <w:rsid w:val="002E6323"/>
    <w:rsid w:val="002F59AD"/>
    <w:rsid w:val="0030277A"/>
    <w:rsid w:val="0030329B"/>
    <w:rsid w:val="00306DB6"/>
    <w:rsid w:val="00310DA4"/>
    <w:rsid w:val="00312448"/>
    <w:rsid w:val="00315B41"/>
    <w:rsid w:val="00321314"/>
    <w:rsid w:val="00323862"/>
    <w:rsid w:val="00333B44"/>
    <w:rsid w:val="00333D5D"/>
    <w:rsid w:val="00337E1E"/>
    <w:rsid w:val="00355AA3"/>
    <w:rsid w:val="00383ED5"/>
    <w:rsid w:val="003875CD"/>
    <w:rsid w:val="00397A05"/>
    <w:rsid w:val="003A12DB"/>
    <w:rsid w:val="003A541C"/>
    <w:rsid w:val="003B2754"/>
    <w:rsid w:val="003C0FE9"/>
    <w:rsid w:val="003C11E9"/>
    <w:rsid w:val="003D59CB"/>
    <w:rsid w:val="003D6150"/>
    <w:rsid w:val="003E7EE4"/>
    <w:rsid w:val="003F27BB"/>
    <w:rsid w:val="00410B75"/>
    <w:rsid w:val="00422038"/>
    <w:rsid w:val="00425BE5"/>
    <w:rsid w:val="0042742B"/>
    <w:rsid w:val="0043037D"/>
    <w:rsid w:val="00432189"/>
    <w:rsid w:val="00443ED1"/>
    <w:rsid w:val="00443FE9"/>
    <w:rsid w:val="00444F98"/>
    <w:rsid w:val="00454ACA"/>
    <w:rsid w:val="00474328"/>
    <w:rsid w:val="00484767"/>
    <w:rsid w:val="0048507A"/>
    <w:rsid w:val="004B5ED2"/>
    <w:rsid w:val="004D0A28"/>
    <w:rsid w:val="004D41C9"/>
    <w:rsid w:val="004D5E99"/>
    <w:rsid w:val="004D63AD"/>
    <w:rsid w:val="004F5EE9"/>
    <w:rsid w:val="005058B4"/>
    <w:rsid w:val="005079A5"/>
    <w:rsid w:val="00521E3A"/>
    <w:rsid w:val="00530C33"/>
    <w:rsid w:val="005378A4"/>
    <w:rsid w:val="00540AEA"/>
    <w:rsid w:val="005719BD"/>
    <w:rsid w:val="00581837"/>
    <w:rsid w:val="00592C4F"/>
    <w:rsid w:val="005A2002"/>
    <w:rsid w:val="005A4365"/>
    <w:rsid w:val="005C17AC"/>
    <w:rsid w:val="005D6D30"/>
    <w:rsid w:val="005D73D0"/>
    <w:rsid w:val="005F1A53"/>
    <w:rsid w:val="00606B19"/>
    <w:rsid w:val="006150F3"/>
    <w:rsid w:val="00631D52"/>
    <w:rsid w:val="00634787"/>
    <w:rsid w:val="006474C8"/>
    <w:rsid w:val="00653694"/>
    <w:rsid w:val="006605CE"/>
    <w:rsid w:val="00663C8F"/>
    <w:rsid w:val="00665D7A"/>
    <w:rsid w:val="00691E26"/>
    <w:rsid w:val="0069275A"/>
    <w:rsid w:val="006A2618"/>
    <w:rsid w:val="006A4892"/>
    <w:rsid w:val="00704242"/>
    <w:rsid w:val="00705772"/>
    <w:rsid w:val="0071587D"/>
    <w:rsid w:val="007158E0"/>
    <w:rsid w:val="00716C80"/>
    <w:rsid w:val="00722B31"/>
    <w:rsid w:val="00741055"/>
    <w:rsid w:val="00752A0F"/>
    <w:rsid w:val="00755B5D"/>
    <w:rsid w:val="00780F06"/>
    <w:rsid w:val="00787B93"/>
    <w:rsid w:val="007A2DF1"/>
    <w:rsid w:val="007B01D6"/>
    <w:rsid w:val="007B37BC"/>
    <w:rsid w:val="007C20D9"/>
    <w:rsid w:val="007C6CCA"/>
    <w:rsid w:val="007D2EAD"/>
    <w:rsid w:val="007E24BB"/>
    <w:rsid w:val="007E6B81"/>
    <w:rsid w:val="007F0E2C"/>
    <w:rsid w:val="007F1474"/>
    <w:rsid w:val="007F5499"/>
    <w:rsid w:val="00810418"/>
    <w:rsid w:val="00824F32"/>
    <w:rsid w:val="008440CA"/>
    <w:rsid w:val="0085115B"/>
    <w:rsid w:val="008633DA"/>
    <w:rsid w:val="00877D44"/>
    <w:rsid w:val="0088042A"/>
    <w:rsid w:val="008839CB"/>
    <w:rsid w:val="00886D9E"/>
    <w:rsid w:val="00887D9B"/>
    <w:rsid w:val="008A7C22"/>
    <w:rsid w:val="008B425B"/>
    <w:rsid w:val="008C2292"/>
    <w:rsid w:val="008E0DEF"/>
    <w:rsid w:val="008E770B"/>
    <w:rsid w:val="008E7CC4"/>
    <w:rsid w:val="0090147A"/>
    <w:rsid w:val="009019C5"/>
    <w:rsid w:val="009072F5"/>
    <w:rsid w:val="00911180"/>
    <w:rsid w:val="00922D79"/>
    <w:rsid w:val="00925FF6"/>
    <w:rsid w:val="009502E4"/>
    <w:rsid w:val="00963398"/>
    <w:rsid w:val="009677A2"/>
    <w:rsid w:val="009802C2"/>
    <w:rsid w:val="00992D3F"/>
    <w:rsid w:val="009B0DB0"/>
    <w:rsid w:val="009B3EA6"/>
    <w:rsid w:val="009D1EA8"/>
    <w:rsid w:val="009D5B6A"/>
    <w:rsid w:val="009D7F3E"/>
    <w:rsid w:val="009F0385"/>
    <w:rsid w:val="00A17F98"/>
    <w:rsid w:val="00A21C4D"/>
    <w:rsid w:val="00A21E07"/>
    <w:rsid w:val="00A36DF4"/>
    <w:rsid w:val="00A67CE8"/>
    <w:rsid w:val="00AA20E1"/>
    <w:rsid w:val="00AB4B97"/>
    <w:rsid w:val="00AC0F80"/>
    <w:rsid w:val="00AC3D41"/>
    <w:rsid w:val="00AC72F2"/>
    <w:rsid w:val="00AD7272"/>
    <w:rsid w:val="00AE79EE"/>
    <w:rsid w:val="00B10A46"/>
    <w:rsid w:val="00B11AB2"/>
    <w:rsid w:val="00B11DC1"/>
    <w:rsid w:val="00B1619C"/>
    <w:rsid w:val="00B22E4C"/>
    <w:rsid w:val="00B34089"/>
    <w:rsid w:val="00B612AB"/>
    <w:rsid w:val="00B62840"/>
    <w:rsid w:val="00B65802"/>
    <w:rsid w:val="00B81CFC"/>
    <w:rsid w:val="00B857BE"/>
    <w:rsid w:val="00BA7F94"/>
    <w:rsid w:val="00BB0575"/>
    <w:rsid w:val="00BB332A"/>
    <w:rsid w:val="00BD1101"/>
    <w:rsid w:val="00BD5AF1"/>
    <w:rsid w:val="00BF2B9E"/>
    <w:rsid w:val="00BF539D"/>
    <w:rsid w:val="00C47C8D"/>
    <w:rsid w:val="00C74546"/>
    <w:rsid w:val="00C74C88"/>
    <w:rsid w:val="00C841F5"/>
    <w:rsid w:val="00C84BB7"/>
    <w:rsid w:val="00C93C00"/>
    <w:rsid w:val="00C944C4"/>
    <w:rsid w:val="00C95BFD"/>
    <w:rsid w:val="00CA6398"/>
    <w:rsid w:val="00CB62CD"/>
    <w:rsid w:val="00CC370A"/>
    <w:rsid w:val="00CE41D4"/>
    <w:rsid w:val="00CF0398"/>
    <w:rsid w:val="00D155BF"/>
    <w:rsid w:val="00D34F2E"/>
    <w:rsid w:val="00D45F47"/>
    <w:rsid w:val="00D729F5"/>
    <w:rsid w:val="00D73A11"/>
    <w:rsid w:val="00D778DC"/>
    <w:rsid w:val="00D77DBF"/>
    <w:rsid w:val="00D83B4B"/>
    <w:rsid w:val="00D85A5D"/>
    <w:rsid w:val="00D92A45"/>
    <w:rsid w:val="00DA42C9"/>
    <w:rsid w:val="00DB6360"/>
    <w:rsid w:val="00DB638D"/>
    <w:rsid w:val="00DE5D38"/>
    <w:rsid w:val="00DF2741"/>
    <w:rsid w:val="00DF369D"/>
    <w:rsid w:val="00DF3753"/>
    <w:rsid w:val="00E245D5"/>
    <w:rsid w:val="00E37A2A"/>
    <w:rsid w:val="00E6301E"/>
    <w:rsid w:val="00E73E46"/>
    <w:rsid w:val="00E818B6"/>
    <w:rsid w:val="00E858E4"/>
    <w:rsid w:val="00E90E46"/>
    <w:rsid w:val="00E91870"/>
    <w:rsid w:val="00E93561"/>
    <w:rsid w:val="00EA1FB1"/>
    <w:rsid w:val="00EA501C"/>
    <w:rsid w:val="00EA5DE0"/>
    <w:rsid w:val="00ED1567"/>
    <w:rsid w:val="00EE343B"/>
    <w:rsid w:val="00EE7D9E"/>
    <w:rsid w:val="00F040A8"/>
    <w:rsid w:val="00F04621"/>
    <w:rsid w:val="00F16806"/>
    <w:rsid w:val="00F26873"/>
    <w:rsid w:val="00F333A9"/>
    <w:rsid w:val="00F334E2"/>
    <w:rsid w:val="00F34083"/>
    <w:rsid w:val="00F5140B"/>
    <w:rsid w:val="00F5385D"/>
    <w:rsid w:val="00F54365"/>
    <w:rsid w:val="00F546C4"/>
    <w:rsid w:val="00F602FC"/>
    <w:rsid w:val="00F67B54"/>
    <w:rsid w:val="00F709EB"/>
    <w:rsid w:val="00F71EEF"/>
    <w:rsid w:val="00F9239B"/>
    <w:rsid w:val="00F97683"/>
    <w:rsid w:val="00FA7DFD"/>
    <w:rsid w:val="00FB33CB"/>
    <w:rsid w:val="00FB769F"/>
    <w:rsid w:val="00FC69FB"/>
    <w:rsid w:val="00FD51AC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liente%20Preferencial\Desktop\ESALQ\Esalq\QUALI\Defesa%20-%20doc%20definitivo\Artigo%201%20tecnicas\Habitat%20Sustentable\01b_tecnicas_207x107emp_ESP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v>Sitios Web: 207 empresas</c:v>
          </c:tx>
          <c:invertIfNegative val="0"/>
          <c:dLbls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'Tec207'!$E$2:$T$2</c:f>
              <c:strCache>
                <c:ptCount val="16"/>
                <c:pt idx="0">
                  <c:v>Woodframe Globo</c:v>
                </c:pt>
                <c:pt idx="1">
                  <c:v>Woodframe Plataforma</c:v>
                </c:pt>
                <c:pt idx="2">
                  <c:v>Woodframe Mixto</c:v>
                </c:pt>
                <c:pt idx="3">
                  <c:v>Casa de Troncos</c:v>
                </c:pt>
                <c:pt idx="4">
                  <c:v>Casa de Tablas Horizontales entre Pilares</c:v>
                </c:pt>
                <c:pt idx="5">
                  <c:v>Casa de Tablas Horizontales Clavadas</c:v>
                </c:pt>
                <c:pt idx="6">
                  <c:v>Casa de Tablas Verticales Clavadas</c:v>
                </c:pt>
                <c:pt idx="7">
                  <c:v>Casa de Estructura Mixta de Madera y Albañilería</c:v>
                </c:pt>
                <c:pt idx="8">
                  <c:v>Woodframe Modular</c:v>
                </c:pt>
                <c:pt idx="9">
                  <c:v>Casa Modular en CLT</c:v>
                </c:pt>
                <c:pt idx="10">
                  <c:v>Casa Modular para Zona de Obras</c:v>
                </c:pt>
                <c:pt idx="11">
                  <c:v>Casa de Tabla y Tapajuntas</c:v>
                </c:pt>
                <c:pt idx="12">
                  <c:v>Casa Móvil</c:v>
                </c:pt>
                <c:pt idx="13">
                  <c:v>Casa de Entramado Pesado por Pilar-viga</c:v>
                </c:pt>
                <c:pt idx="14">
                  <c:v>Casa Palillero con Albañilería</c:v>
                </c:pt>
                <c:pt idx="15">
                  <c:v>Não Respondeu / Não Informado</c:v>
                </c:pt>
              </c:strCache>
            </c:strRef>
          </c:cat>
          <c:val>
            <c:numRef>
              <c:f>'Tec207'!$E$215:$S$215</c:f>
              <c:numCache>
                <c:formatCode>General</c:formatCode>
                <c:ptCount val="15"/>
                <c:pt idx="0">
                  <c:v>4</c:v>
                </c:pt>
                <c:pt idx="1">
                  <c:v>25</c:v>
                </c:pt>
                <c:pt idx="2">
                  <c:v>4</c:v>
                </c:pt>
                <c:pt idx="3">
                  <c:v>9</c:v>
                </c:pt>
                <c:pt idx="4">
                  <c:v>62</c:v>
                </c:pt>
                <c:pt idx="5">
                  <c:v>101</c:v>
                </c:pt>
                <c:pt idx="6">
                  <c:v>59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  <c:pt idx="10">
                  <c:v>6</c:v>
                </c:pt>
                <c:pt idx="11">
                  <c:v>25</c:v>
                </c:pt>
                <c:pt idx="12">
                  <c:v>1</c:v>
                </c:pt>
                <c:pt idx="13">
                  <c:v>12</c:v>
                </c:pt>
                <c:pt idx="14">
                  <c:v>9</c:v>
                </c:pt>
              </c:numCache>
            </c:numRef>
          </c:val>
        </c:ser>
        <c:ser>
          <c:idx val="1"/>
          <c:order val="1"/>
          <c:tx>
            <c:v>Entrevistas: 107 empresas</c:v>
          </c:tx>
          <c:invertIfNegative val="0"/>
          <c:dLbls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'Tec107'!$E$112:$S$112</c:f>
              <c:numCache>
                <c:formatCode>General</c:formatCode>
                <c:ptCount val="15"/>
                <c:pt idx="0">
                  <c:v>3</c:v>
                </c:pt>
                <c:pt idx="1">
                  <c:v>19</c:v>
                </c:pt>
                <c:pt idx="2">
                  <c:v>3</c:v>
                </c:pt>
                <c:pt idx="3">
                  <c:v>6</c:v>
                </c:pt>
                <c:pt idx="4">
                  <c:v>34</c:v>
                </c:pt>
                <c:pt idx="5">
                  <c:v>46</c:v>
                </c:pt>
                <c:pt idx="6">
                  <c:v>40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  <c:pt idx="10">
                  <c:v>5</c:v>
                </c:pt>
                <c:pt idx="11">
                  <c:v>11</c:v>
                </c:pt>
                <c:pt idx="12">
                  <c:v>0</c:v>
                </c:pt>
                <c:pt idx="13">
                  <c:v>11</c:v>
                </c:pt>
                <c:pt idx="14">
                  <c:v>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12905600"/>
        <c:axId val="112907392"/>
      </c:barChart>
      <c:catAx>
        <c:axId val="112905600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pt-BR"/>
          </a:p>
        </c:txPr>
        <c:crossAx val="112907392"/>
        <c:crosses val="autoZero"/>
        <c:auto val="1"/>
        <c:lblAlgn val="ctr"/>
        <c:lblOffset val="100"/>
        <c:noMultiLvlLbl val="0"/>
      </c:catAx>
      <c:valAx>
        <c:axId val="112907392"/>
        <c:scaling>
          <c:orientation val="minMax"/>
          <c:max val="125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112905600"/>
        <c:crosses val="autoZero"/>
        <c:crossBetween val="between"/>
        <c:majorUnit val="25"/>
      </c:valAx>
    </c:plotArea>
    <c:legend>
      <c:legendPos val="t"/>
      <c:overlay val="0"/>
      <c:txPr>
        <a:bodyPr/>
        <a:lstStyle/>
        <a:p>
          <a:pPr>
            <a:defRPr>
              <a:latin typeface="Arial" pitchFamily="34" charset="0"/>
              <a:cs typeface="Arial" pitchFamily="34" charset="0"/>
            </a:defRPr>
          </a:pPr>
          <a:endParaRPr lang="pt-BR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DA2A-CDA9-492C-827B-1C06676D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cesar-eligio</dc:creator>
  <cp:lastModifiedBy>Cliente Preferencial</cp:lastModifiedBy>
  <cp:revision>3</cp:revision>
  <dcterms:created xsi:type="dcterms:W3CDTF">2018-03-15T21:10:00Z</dcterms:created>
  <dcterms:modified xsi:type="dcterms:W3CDTF">2018-03-15T21:10:00Z</dcterms:modified>
</cp:coreProperties>
</file>